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F60B50" w14:paraId="74A53477" w14:textId="77777777" w:rsidTr="00BF1CCE">
        <w:tc>
          <w:tcPr>
            <w:tcW w:w="5382" w:type="dxa"/>
            <w:shd w:val="clear" w:color="auto" w:fill="auto"/>
          </w:tcPr>
          <w:p w14:paraId="74A53474" w14:textId="77777777" w:rsidR="001073DC" w:rsidRPr="00D1305C" w:rsidRDefault="00741C4E"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4A53475" w14:textId="25EA6D71" w:rsidR="001073DC" w:rsidRPr="00D1305C" w:rsidRDefault="00741C4E"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4A53476" w14:textId="2D753EE6" w:rsidR="001073DC" w:rsidRPr="00284E95" w:rsidRDefault="00AB3851"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F60B50" w14:paraId="74A5347B" w14:textId="77777777" w:rsidTr="00BF1CCE">
        <w:trPr>
          <w:cantSplit/>
        </w:trPr>
        <w:tc>
          <w:tcPr>
            <w:tcW w:w="2835" w:type="dxa"/>
            <w:shd w:val="clear" w:color="auto" w:fill="BFBFBF"/>
            <w:vAlign w:val="center"/>
          </w:tcPr>
          <w:p w14:paraId="74A53478" w14:textId="77777777" w:rsidR="00284E95" w:rsidRPr="00D4431F" w:rsidRDefault="00741C4E"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4A53479" w14:textId="77777777" w:rsidR="00284E95" w:rsidRDefault="00741C4E"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4A5347A" w14:textId="77777777" w:rsidR="00284E95" w:rsidRPr="00D4431F" w:rsidRDefault="00741C4E" w:rsidP="00BF1CCE">
            <w:pPr>
              <w:spacing w:line="240" w:lineRule="auto"/>
              <w:jc w:val="center"/>
              <w:rPr>
                <w:rFonts w:cstheme="minorHAnsi"/>
                <w:b/>
                <w:bCs/>
              </w:rPr>
            </w:pPr>
            <w:r>
              <w:rPr>
                <w:rFonts w:cstheme="minorHAnsi"/>
                <w:b/>
                <w:bCs/>
              </w:rPr>
              <w:t>Date</w:t>
            </w:r>
          </w:p>
        </w:tc>
      </w:tr>
      <w:tr w:rsidR="00F60B50" w14:paraId="74A53481" w14:textId="77777777" w:rsidTr="00BF1CCE">
        <w:trPr>
          <w:cantSplit/>
          <w:trHeight w:val="942"/>
        </w:trPr>
        <w:tc>
          <w:tcPr>
            <w:tcW w:w="2835" w:type="dxa"/>
            <w:vAlign w:val="center"/>
          </w:tcPr>
          <w:p w14:paraId="74A5347C" w14:textId="77777777" w:rsidR="00284E95" w:rsidRPr="00ED4FF1" w:rsidRDefault="00AB3851" w:rsidP="00BF1CCE">
            <w:pPr>
              <w:spacing w:after="0"/>
              <w:jc w:val="center"/>
            </w:pPr>
            <w:r>
              <w:fldChar w:fldCharType="begin"/>
            </w:r>
            <w:r>
              <w:instrText xml:space="preserve"> DOCPROPERTY  LeadDirector  \* MERGEFORMAT </w:instrText>
            </w:r>
            <w:r>
              <w:fldChar w:fldCharType="separate"/>
            </w:r>
            <w:r w:rsidR="00741C4E" w:rsidRPr="00ED4FF1">
              <w:t>Director of Finance and Section 151 Officer</w:t>
            </w:r>
            <w:r>
              <w:fldChar w:fldCharType="end"/>
            </w:r>
          </w:p>
          <w:p w14:paraId="74A5347D" w14:textId="77777777" w:rsidR="00284E95" w:rsidRPr="00ED4FF1" w:rsidRDefault="00741C4E" w:rsidP="00BF1CCE">
            <w:pPr>
              <w:jc w:val="center"/>
            </w:pPr>
            <w:r w:rsidRPr="00ED4FF1">
              <w:t xml:space="preserve">(Introduced by </w:t>
            </w:r>
            <w:r w:rsidR="00AB3851">
              <w:fldChar w:fldCharType="begin"/>
            </w:r>
            <w:r w:rsidR="00AB3851">
              <w:instrText xml:space="preserve"> DOCPROPERTY  LeadMember  \* MERGEFORMAT </w:instrText>
            </w:r>
            <w:r w:rsidR="00AB3851">
              <w:fldChar w:fldCharType="separate"/>
            </w:r>
            <w:r w:rsidRPr="00ED4FF1">
              <w:t>Cabinet Member (Finance, Property and Assets)</w:t>
            </w:r>
            <w:r w:rsidR="00AB3851">
              <w:fldChar w:fldCharType="end"/>
            </w:r>
            <w:r w:rsidRPr="00ED4FF1">
              <w:t>)</w:t>
            </w:r>
          </w:p>
        </w:tc>
        <w:tc>
          <w:tcPr>
            <w:tcW w:w="4678" w:type="dxa"/>
            <w:vAlign w:val="center"/>
          </w:tcPr>
          <w:p w14:paraId="4DB949F7" w14:textId="77777777" w:rsidR="00AB3851" w:rsidRDefault="00AB3851" w:rsidP="00320A99">
            <w:pPr>
              <w:spacing w:line="240" w:lineRule="auto"/>
              <w:jc w:val="center"/>
              <w:rPr>
                <w:rFonts w:cstheme="minorHAnsi"/>
              </w:rPr>
            </w:pPr>
          </w:p>
          <w:p w14:paraId="74A5347E" w14:textId="4AA8EDD8" w:rsidR="00320A99" w:rsidRPr="00ED4FF1" w:rsidRDefault="00320A99" w:rsidP="00320A99">
            <w:pPr>
              <w:spacing w:line="240" w:lineRule="auto"/>
              <w:jc w:val="center"/>
              <w:rPr>
                <w:rFonts w:cstheme="minorHAnsi"/>
              </w:rPr>
            </w:pPr>
            <w:r>
              <w:rPr>
                <w:rFonts w:cstheme="minorHAnsi"/>
              </w:rPr>
              <w:t>Council</w:t>
            </w:r>
          </w:p>
          <w:p w14:paraId="74A5347F" w14:textId="41CC0ABD" w:rsidR="00284E95" w:rsidRPr="00ED4FF1" w:rsidRDefault="00AB3851" w:rsidP="00BF1CCE">
            <w:pPr>
              <w:spacing w:line="240" w:lineRule="auto"/>
              <w:jc w:val="center"/>
              <w:rPr>
                <w:rFonts w:cstheme="minorHAnsi"/>
              </w:rPr>
            </w:pPr>
          </w:p>
        </w:tc>
        <w:tc>
          <w:tcPr>
            <w:tcW w:w="2551" w:type="dxa"/>
            <w:vAlign w:val="center"/>
          </w:tcPr>
          <w:p w14:paraId="74A53480" w14:textId="383D65FA" w:rsidR="00284E95" w:rsidRPr="00ED4FF1" w:rsidRDefault="00320A99" w:rsidP="00BF1CCE">
            <w:pPr>
              <w:spacing w:line="240" w:lineRule="auto"/>
              <w:jc w:val="center"/>
              <w:rPr>
                <w:rFonts w:cstheme="minorHAnsi"/>
              </w:rPr>
            </w:pPr>
            <w:r>
              <w:rPr>
                <w:rFonts w:cstheme="minorHAnsi"/>
              </w:rPr>
              <w:t>23 February 2022</w:t>
            </w:r>
          </w:p>
        </w:tc>
      </w:tr>
    </w:tbl>
    <w:p w14:paraId="74A53482" w14:textId="77777777" w:rsidR="00CF42B2" w:rsidRDefault="00741C4E" w:rsidP="002A4A7D">
      <w:pPr>
        <w:spacing w:after="0"/>
      </w:pPr>
      <w:r>
        <w:rPr>
          <w:rFonts w:cstheme="minorHAnsi"/>
          <w:b/>
          <w:bCs/>
          <w:noProof/>
        </w:rPr>
        <w:drawing>
          <wp:anchor distT="0" distB="0" distL="114300" distR="114300" simplePos="0" relativeHeight="251658240" behindDoc="0" locked="0" layoutInCell="1" allowOverlap="1" wp14:anchorId="74A534D8" wp14:editId="74A534D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9823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F60B50" w14:paraId="74A53486" w14:textId="77777777" w:rsidTr="00BF1CCE">
        <w:tc>
          <w:tcPr>
            <w:tcW w:w="5382" w:type="dxa"/>
            <w:shd w:val="clear" w:color="auto" w:fill="auto"/>
          </w:tcPr>
          <w:p w14:paraId="74A53483" w14:textId="77777777" w:rsidR="00284E95" w:rsidRPr="00D1305C" w:rsidRDefault="00741C4E"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4A53484" w14:textId="100C22D9" w:rsidR="00284E95" w:rsidRDefault="00741C4E"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74A53485" w14:textId="612A889F" w:rsidR="00284E95" w:rsidRPr="00284E95" w:rsidRDefault="00AB3851" w:rsidP="00BF1CCE">
            <w:pPr>
              <w:spacing w:after="0"/>
              <w:rPr>
                <w:rFonts w:eastAsia="Times New Roman" w:cstheme="minorHAnsi"/>
                <w:bCs/>
                <w:color w:val="000000" w:themeColor="text1"/>
                <w:kern w:val="36"/>
                <w:lang w:eastAsia="en-GB"/>
              </w:rPr>
            </w:pPr>
          </w:p>
        </w:tc>
      </w:tr>
    </w:tbl>
    <w:p w14:paraId="74A53487" w14:textId="77777777" w:rsidR="00284E95" w:rsidRDefault="00AB3851"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F60B50" w14:paraId="74A5348A" w14:textId="77777777" w:rsidTr="00BF1CCE">
        <w:tc>
          <w:tcPr>
            <w:tcW w:w="5392" w:type="dxa"/>
            <w:vAlign w:val="center"/>
          </w:tcPr>
          <w:p w14:paraId="74A53488" w14:textId="77777777" w:rsidR="00AD15F7" w:rsidRPr="00320A99" w:rsidRDefault="00741C4E" w:rsidP="00BF1CCE">
            <w:pPr>
              <w:spacing w:before="120" w:after="120"/>
              <w:rPr>
                <w:b/>
              </w:rPr>
            </w:pPr>
            <w:r w:rsidRPr="00320A99">
              <w:rPr>
                <w:rFonts w:eastAsia="Times New Roman" w:cstheme="minorHAnsi"/>
                <w:b/>
                <w:color w:val="000000" w:themeColor="text1"/>
                <w:kern w:val="36"/>
                <w:lang w:eastAsia="en-GB"/>
              </w:rPr>
              <w:t>Savings or expenditure amounting to greater than £100,000</w:t>
            </w:r>
          </w:p>
        </w:tc>
        <w:tc>
          <w:tcPr>
            <w:tcW w:w="4678" w:type="dxa"/>
            <w:vAlign w:val="center"/>
          </w:tcPr>
          <w:p w14:paraId="74A53489" w14:textId="77777777" w:rsidR="00AD15F7" w:rsidRPr="00320A99" w:rsidRDefault="00741C4E" w:rsidP="00BF1CCE">
            <w:pPr>
              <w:spacing w:before="120" w:after="120"/>
              <w:rPr>
                <w:b/>
              </w:rPr>
            </w:pPr>
            <w:r w:rsidRPr="00320A99">
              <w:rPr>
                <w:rFonts w:eastAsia="Times New Roman" w:cstheme="minorHAnsi"/>
                <w:b/>
                <w:color w:val="000000" w:themeColor="text1"/>
                <w:kern w:val="36"/>
                <w:lang w:eastAsia="en-GB"/>
              </w:rPr>
              <w:t>Significant impact on 2 or more council wards</w:t>
            </w:r>
          </w:p>
        </w:tc>
      </w:tr>
    </w:tbl>
    <w:p w14:paraId="74A5348D" w14:textId="46295E7D" w:rsidR="00BF1CCE" w:rsidRPr="00320A99" w:rsidRDefault="00320A99" w:rsidP="000179AF">
      <w:pPr>
        <w:rPr>
          <w:rFonts w:eastAsia="Times New Roman" w:cstheme="minorHAnsi"/>
          <w:b/>
          <w:bCs/>
          <w:color w:val="000000" w:themeColor="text1"/>
          <w:kern w:val="36"/>
          <w:lang w:eastAsia="en-GB"/>
        </w:rPr>
      </w:pPr>
      <w:r w:rsidRPr="00320A99">
        <w:rPr>
          <w:rFonts w:asciiTheme="majorHAnsi" w:hAnsiTheme="majorHAnsi" w:cstheme="majorHAnsi"/>
          <w:b/>
          <w:bCs/>
          <w:sz w:val="24"/>
          <w:szCs w:val="24"/>
        </w:rPr>
        <w:t>Revenue Budget 2022/23, Medium Term Financial Strategy and Capital Programme 2022-2025</w:t>
      </w:r>
    </w:p>
    <w:p w14:paraId="48A7F65C" w14:textId="77777777" w:rsidR="00320A99" w:rsidRDefault="00320A99" w:rsidP="000179AF">
      <w:pPr>
        <w:pStyle w:val="Heading1"/>
        <w:rPr>
          <w:rFonts w:asciiTheme="majorHAnsi" w:hAnsiTheme="majorHAnsi" w:cstheme="majorHAnsi"/>
          <w:sz w:val="22"/>
        </w:rPr>
      </w:pPr>
    </w:p>
    <w:p w14:paraId="01570EC8" w14:textId="77777777" w:rsidR="00320A99" w:rsidRDefault="00320A99" w:rsidP="000179AF">
      <w:pPr>
        <w:pStyle w:val="Heading1"/>
        <w:rPr>
          <w:rFonts w:asciiTheme="majorHAnsi" w:hAnsiTheme="majorHAnsi" w:cstheme="majorHAnsi"/>
          <w:sz w:val="22"/>
        </w:rPr>
      </w:pPr>
    </w:p>
    <w:p w14:paraId="54490BA0" w14:textId="77777777" w:rsidR="008F4AE7" w:rsidRDefault="008F4AE7" w:rsidP="000179AF">
      <w:pPr>
        <w:pStyle w:val="Heading1"/>
        <w:rPr>
          <w:rFonts w:asciiTheme="majorHAnsi" w:hAnsiTheme="majorHAnsi" w:cstheme="majorHAnsi"/>
          <w:sz w:val="22"/>
        </w:rPr>
      </w:pPr>
    </w:p>
    <w:p w14:paraId="74A5348F" w14:textId="4EACBFDB" w:rsidR="000179AF" w:rsidRPr="00ED4FF1" w:rsidRDefault="00741C4E"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4A53490" w14:textId="13CA1F5C" w:rsidR="000179AF" w:rsidRPr="003E3722" w:rsidRDefault="00320A99" w:rsidP="000179AF">
      <w:pPr>
        <w:numPr>
          <w:ilvl w:val="0"/>
          <w:numId w:val="8"/>
        </w:numPr>
        <w:spacing w:after="0" w:line="240" w:lineRule="auto"/>
        <w:jc w:val="both"/>
        <w:rPr>
          <w:rFonts w:cstheme="minorHAnsi"/>
          <w:bCs/>
          <w:iCs/>
        </w:rPr>
      </w:pPr>
      <w:r>
        <w:rPr>
          <w:rFonts w:cstheme="minorHAnsi"/>
          <w:bCs/>
          <w:iCs/>
        </w:rPr>
        <w:t xml:space="preserve">To </w:t>
      </w:r>
      <w:r w:rsidRPr="00077165">
        <w:t xml:space="preserve">seek approval of the Budget Strategy and proposals for the Revenue Budget 2022/23, together with the </w:t>
      </w:r>
      <w:proofErr w:type="gramStart"/>
      <w:r w:rsidRPr="00077165">
        <w:rPr>
          <w:rFonts w:cs="Arial"/>
        </w:rPr>
        <w:t>Medium Term</w:t>
      </w:r>
      <w:proofErr w:type="gramEnd"/>
      <w:r w:rsidRPr="00077165">
        <w:rPr>
          <w:rFonts w:cs="Arial"/>
        </w:rPr>
        <w:t xml:space="preserve"> Financial Strategy (MTFS) and Capital Programme for 2022-</w:t>
      </w:r>
      <w:r>
        <w:rPr>
          <w:rFonts w:cs="Arial"/>
        </w:rPr>
        <w:t>2025</w:t>
      </w:r>
      <w:r w:rsidR="00741C4E" w:rsidRPr="003E3722">
        <w:rPr>
          <w:rFonts w:cstheme="minorHAnsi"/>
          <w:bCs/>
          <w:iCs/>
        </w:rPr>
        <w:t>brief overview of what you are asking members to consider</w:t>
      </w:r>
    </w:p>
    <w:p w14:paraId="74A53491" w14:textId="77777777" w:rsidR="000179AF" w:rsidRDefault="00AB3851" w:rsidP="000179AF">
      <w:pPr>
        <w:spacing w:after="0" w:line="240" w:lineRule="auto"/>
        <w:jc w:val="both"/>
        <w:rPr>
          <w:rFonts w:cstheme="minorHAnsi"/>
          <w:bCs/>
        </w:rPr>
      </w:pPr>
    </w:p>
    <w:p w14:paraId="74A53498" w14:textId="77777777" w:rsidR="002A4A7D" w:rsidRPr="00ED4FF1" w:rsidRDefault="00741C4E"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r w:rsidRPr="002A4A7D">
        <w:rPr>
          <w:rFonts w:asciiTheme="majorHAnsi" w:hAnsiTheme="majorHAnsi" w:cstheme="majorHAnsi"/>
          <w:b w:val="0"/>
          <w:bCs w:val="0"/>
          <w:sz w:val="22"/>
        </w:rPr>
        <w:t>(delete if not applicable)</w:t>
      </w:r>
    </w:p>
    <w:p w14:paraId="3341A97D" w14:textId="507F33FC" w:rsidR="008F4AE7" w:rsidRDefault="008F4AE7" w:rsidP="008F4AE7">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Pr>
          <w:rFonts w:cstheme="minorHAnsi"/>
          <w:bCs/>
          <w:iCs/>
        </w:rPr>
        <w:t xml:space="preserve">The </w:t>
      </w:r>
      <w:r w:rsidRPr="00CA0113">
        <w:t>Cabinet recommends that Council:</w:t>
      </w:r>
    </w:p>
    <w:p w14:paraId="790FFF7E" w14:textId="77777777" w:rsidR="008F4AE7" w:rsidRPr="00CA0113"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709"/>
        </w:tabs>
        <w:spacing w:after="0" w:line="240" w:lineRule="auto"/>
        <w:ind w:left="567"/>
        <w:jc w:val="both"/>
      </w:pPr>
    </w:p>
    <w:p w14:paraId="75C971DE"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Pr>
          <w:bCs/>
        </w:rPr>
        <w:t>A</w:t>
      </w:r>
      <w:r w:rsidRPr="002A1C9F">
        <w:rPr>
          <w:bCs/>
        </w:rPr>
        <w:t>pprove the budget and proposals set out in this report</w:t>
      </w:r>
      <w:r>
        <w:rPr>
          <w:bCs/>
        </w:rPr>
        <w:t>,</w:t>
      </w:r>
      <w:r w:rsidRPr="002A1C9F">
        <w:rPr>
          <w:bCs/>
        </w:rPr>
        <w:t xml:space="preserve"> including the level of Council Tax as set out in the </w:t>
      </w:r>
      <w:r w:rsidRPr="00EB104A">
        <w:rPr>
          <w:rFonts w:cs="Arial"/>
          <w:bCs/>
          <w:bdr w:val="nil"/>
        </w:rPr>
        <w:t>Formal Council Tax Resolution</w:t>
      </w:r>
      <w:r>
        <w:rPr>
          <w:rFonts w:cs="Arial"/>
          <w:bCs/>
          <w:bdr w:val="nil"/>
        </w:rPr>
        <w:t>,</w:t>
      </w:r>
      <w:r w:rsidRPr="00EB104A">
        <w:rPr>
          <w:rFonts w:cs="Arial"/>
          <w:bCs/>
          <w:bdr w:val="nil"/>
        </w:rPr>
        <w:t xml:space="preserve"> including Parish Precepts</w:t>
      </w:r>
      <w:r>
        <w:rPr>
          <w:rFonts w:cs="Arial"/>
          <w:bCs/>
          <w:bdr w:val="nil"/>
        </w:rPr>
        <w:t>, for</w:t>
      </w:r>
      <w:r w:rsidRPr="00EB104A">
        <w:rPr>
          <w:rFonts w:cs="Arial"/>
          <w:bCs/>
          <w:bdr w:val="nil"/>
        </w:rPr>
        <w:t xml:space="preserve"> 2022/23</w:t>
      </w:r>
      <w:r>
        <w:rPr>
          <w:rFonts w:cs="Arial"/>
          <w:bCs/>
          <w:bdr w:val="nil"/>
        </w:rPr>
        <w:t xml:space="preserve">, </w:t>
      </w:r>
      <w:r w:rsidRPr="00EB104A">
        <w:rPr>
          <w:rFonts w:cs="Arial"/>
          <w:bCs/>
        </w:rPr>
        <w:t>at</w:t>
      </w:r>
      <w:r w:rsidRPr="002A1C9F">
        <w:rPr>
          <w:bCs/>
        </w:rPr>
        <w:t xml:space="preserve"> </w:t>
      </w:r>
      <w:r w:rsidRPr="00EB104A">
        <w:rPr>
          <w:bCs/>
          <w:i/>
          <w:iCs/>
        </w:rPr>
        <w:t>Appendix A</w:t>
      </w:r>
      <w:r>
        <w:t>;</w:t>
      </w:r>
    </w:p>
    <w:p w14:paraId="4C223D78" w14:textId="77777777" w:rsidR="008F4AE7" w:rsidRPr="00CA0113"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ind w:left="927"/>
        <w:rPr>
          <w:sz w:val="16"/>
        </w:rPr>
      </w:pPr>
    </w:p>
    <w:p w14:paraId="589D0D1E"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t xml:space="preserve">Note </w:t>
      </w:r>
      <w:r w:rsidRPr="002A1C9F">
        <w:rPr>
          <w:bCs/>
        </w:rPr>
        <w:t xml:space="preserve">the advice of the Chief Finance Officer in relation to the robustness of the </w:t>
      </w:r>
      <w:r w:rsidRPr="002A1C9F">
        <w:rPr>
          <w:rFonts w:cs="Arial"/>
          <w:bCs/>
        </w:rPr>
        <w:t>estimates within the overall budget, including the risks contained within it</w:t>
      </w:r>
      <w:r w:rsidRPr="002A1C9F">
        <w:rPr>
          <w:bCs/>
        </w:rPr>
        <w:t xml:space="preserve"> and the </w:t>
      </w:r>
      <w:r w:rsidRPr="002A1C9F">
        <w:rPr>
          <w:rFonts w:cs="Arial"/>
          <w:bCs/>
        </w:rPr>
        <w:t>adequacy of the proposed level of financial reserves, as</w:t>
      </w:r>
      <w:r w:rsidRPr="002A1C9F">
        <w:rPr>
          <w:bCs/>
        </w:rPr>
        <w:t xml:space="preserve"> set out in the Statutory Report at </w:t>
      </w:r>
      <w:r w:rsidRPr="002A1C9F">
        <w:rPr>
          <w:bCs/>
          <w:i/>
          <w:iCs/>
        </w:rPr>
        <w:t>Appendi</w:t>
      </w:r>
      <w:r>
        <w:rPr>
          <w:bCs/>
          <w:i/>
          <w:iCs/>
        </w:rPr>
        <w:t>ces</w:t>
      </w:r>
      <w:r w:rsidRPr="002A1C9F">
        <w:rPr>
          <w:bCs/>
          <w:i/>
          <w:iCs/>
        </w:rPr>
        <w:t xml:space="preserve"> B</w:t>
      </w:r>
      <w:r>
        <w:rPr>
          <w:bCs/>
          <w:i/>
          <w:iCs/>
        </w:rPr>
        <w:t>1 – B3</w:t>
      </w:r>
      <w:r>
        <w:t>;</w:t>
      </w:r>
      <w:r w:rsidRPr="00737E4E">
        <w:t xml:space="preserve"> </w:t>
      </w:r>
    </w:p>
    <w:p w14:paraId="1C0D20A7" w14:textId="77777777" w:rsidR="008F4AE7" w:rsidRPr="00CA0113"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ind w:left="927"/>
        <w:jc w:val="both"/>
        <w:rPr>
          <w:sz w:val="12"/>
          <w:szCs w:val="12"/>
        </w:rPr>
      </w:pPr>
    </w:p>
    <w:p w14:paraId="3EAA5799" w14:textId="77777777" w:rsidR="008F4AE7"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sidRPr="00CA0113">
        <w:t xml:space="preserve">Approve </w:t>
      </w:r>
      <w:r w:rsidRPr="002A1C9F">
        <w:rPr>
          <w:bCs/>
        </w:rPr>
        <w:t xml:space="preserve">the council’s Medium-Term Financial Strategy (MTFS) at </w:t>
      </w:r>
      <w:r w:rsidRPr="002A1C9F">
        <w:rPr>
          <w:bCs/>
          <w:i/>
          <w:iCs/>
        </w:rPr>
        <w:t>Appendix C</w:t>
      </w:r>
      <w:r>
        <w:t>;</w:t>
      </w:r>
    </w:p>
    <w:p w14:paraId="27EF5383" w14:textId="77777777" w:rsidR="008F4AE7" w:rsidRDefault="008F4AE7" w:rsidP="008F4AE7">
      <w:pPr>
        <w:pStyle w:val="ListParagraph"/>
      </w:pPr>
    </w:p>
    <w:p w14:paraId="236394A5" w14:textId="77777777" w:rsidR="008F4AE7"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t xml:space="preserve">Note </w:t>
      </w:r>
      <w:r w:rsidRPr="00EB104A">
        <w:rPr>
          <w:bCs/>
        </w:rPr>
        <w:t xml:space="preserve">the council’s forecast Cumulative Budget Deficit </w:t>
      </w:r>
      <w:r>
        <w:rPr>
          <w:bCs/>
        </w:rPr>
        <w:t>and</w:t>
      </w:r>
      <w:r w:rsidRPr="00EB104A">
        <w:rPr>
          <w:bCs/>
        </w:rPr>
        <w:t xml:space="preserve"> </w:t>
      </w:r>
      <w:r>
        <w:rPr>
          <w:bCs/>
        </w:rPr>
        <w:t>B</w:t>
      </w:r>
      <w:r w:rsidRPr="00EB104A">
        <w:rPr>
          <w:bCs/>
        </w:rPr>
        <w:t xml:space="preserve">udget Strategy 2021-22 to 2024-25 at </w:t>
      </w:r>
      <w:r w:rsidRPr="00EB104A">
        <w:rPr>
          <w:bCs/>
          <w:i/>
          <w:iCs/>
        </w:rPr>
        <w:t>Appendix D</w:t>
      </w:r>
      <w:r>
        <w:t>;</w:t>
      </w:r>
    </w:p>
    <w:p w14:paraId="3E4A3F6E" w14:textId="77777777" w:rsidR="008F4AE7"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ind w:left="927"/>
        <w:jc w:val="both"/>
      </w:pPr>
    </w:p>
    <w:p w14:paraId="41702F5C"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sidRPr="00CA0113">
        <w:t xml:space="preserve">Note </w:t>
      </w:r>
      <w:r w:rsidRPr="002A1C9F">
        <w:rPr>
          <w:bCs/>
        </w:rPr>
        <w:t xml:space="preserve">the </w:t>
      </w:r>
      <w:r>
        <w:rPr>
          <w:bCs/>
        </w:rPr>
        <w:t xml:space="preserve">analysis of the movement in the 2022/23 Budget from the position approved by Council </w:t>
      </w:r>
      <w:r w:rsidRPr="002A1C9F">
        <w:rPr>
          <w:bCs/>
        </w:rPr>
        <w:t xml:space="preserve">in February 2021 at </w:t>
      </w:r>
      <w:r w:rsidRPr="002A1C9F">
        <w:rPr>
          <w:bCs/>
          <w:i/>
          <w:iCs/>
        </w:rPr>
        <w:t>Appendix E</w:t>
      </w:r>
      <w:r>
        <w:t>;</w:t>
      </w:r>
    </w:p>
    <w:p w14:paraId="07D5B271" w14:textId="77777777" w:rsidR="008F4AE7" w:rsidRPr="00CA0113"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ind w:left="927"/>
        <w:rPr>
          <w:sz w:val="12"/>
          <w:szCs w:val="18"/>
        </w:rPr>
      </w:pPr>
    </w:p>
    <w:p w14:paraId="2C2B609C"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t xml:space="preserve">   </w:t>
      </w:r>
      <w:r w:rsidRPr="00CA0113">
        <w:t xml:space="preserve">Approve </w:t>
      </w:r>
      <w:r w:rsidRPr="002A1C9F">
        <w:rPr>
          <w:bCs/>
        </w:rPr>
        <w:t>the capital programme for 2021/22 to 2024/25 (</w:t>
      </w:r>
      <w:r w:rsidRPr="002A1C9F">
        <w:rPr>
          <w:bCs/>
          <w:i/>
          <w:iCs/>
        </w:rPr>
        <w:t>Appendices F1, F2 &amp; F3</w:t>
      </w:r>
      <w:r>
        <w:rPr>
          <w:bCs/>
          <w:i/>
          <w:iCs/>
        </w:rPr>
        <w:t>)</w:t>
      </w:r>
      <w:r>
        <w:t>;</w:t>
      </w:r>
    </w:p>
    <w:p w14:paraId="1726060F" w14:textId="77777777" w:rsidR="008F4AE7" w:rsidRPr="00CA0113"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ind w:left="927"/>
        <w:rPr>
          <w:sz w:val="12"/>
          <w:szCs w:val="18"/>
        </w:rPr>
      </w:pPr>
    </w:p>
    <w:p w14:paraId="28C32892"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sidRPr="00CA0113">
        <w:t xml:space="preserve">Approve </w:t>
      </w:r>
      <w:r w:rsidRPr="002A1C9F">
        <w:rPr>
          <w:bCs/>
        </w:rPr>
        <w:t xml:space="preserve">the Capital Strategy at </w:t>
      </w:r>
      <w:r w:rsidRPr="002A1C9F">
        <w:rPr>
          <w:bCs/>
          <w:i/>
          <w:iCs/>
        </w:rPr>
        <w:t>Appendix G</w:t>
      </w:r>
      <w:r>
        <w:t>;</w:t>
      </w:r>
    </w:p>
    <w:p w14:paraId="61F82894" w14:textId="77777777" w:rsidR="008F4AE7" w:rsidRPr="00CA0113"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ind w:left="927"/>
        <w:rPr>
          <w:sz w:val="12"/>
          <w:szCs w:val="18"/>
        </w:rPr>
      </w:pPr>
    </w:p>
    <w:p w14:paraId="083990CF"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sidRPr="00CA0113">
        <w:t xml:space="preserve">Approve </w:t>
      </w:r>
      <w:r w:rsidRPr="002A1C9F">
        <w:rPr>
          <w:bCs/>
        </w:rPr>
        <w:t xml:space="preserve">the Treasury Management Strategy at </w:t>
      </w:r>
      <w:r w:rsidRPr="002A1C9F">
        <w:rPr>
          <w:bCs/>
          <w:i/>
          <w:iCs/>
        </w:rPr>
        <w:t>Appendix H</w:t>
      </w:r>
      <w:r w:rsidRPr="002A1C9F">
        <w:rPr>
          <w:bCs/>
        </w:rPr>
        <w:t xml:space="preserve"> and note the advice of the treasury management consultants at </w:t>
      </w:r>
      <w:r w:rsidRPr="002A1C9F">
        <w:rPr>
          <w:bCs/>
          <w:i/>
          <w:iCs/>
        </w:rPr>
        <w:t>Appendix H1</w:t>
      </w:r>
      <w:r>
        <w:t>;</w:t>
      </w:r>
    </w:p>
    <w:p w14:paraId="2374FCEA" w14:textId="77777777" w:rsidR="008F4AE7" w:rsidRPr="00CA0113"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ind w:left="927"/>
        <w:rPr>
          <w:sz w:val="12"/>
          <w:szCs w:val="18"/>
        </w:rPr>
      </w:pPr>
    </w:p>
    <w:p w14:paraId="5A175AD3" w14:textId="77777777" w:rsidR="008F4AE7"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sidRPr="00CA0113">
        <w:t xml:space="preserve">   Approve </w:t>
      </w:r>
      <w:r w:rsidRPr="002A1C9F">
        <w:rPr>
          <w:bCs/>
        </w:rPr>
        <w:t xml:space="preserve">the council’s Pay Policy </w:t>
      </w:r>
      <w:r w:rsidRPr="002A1C9F">
        <w:rPr>
          <w:bCs/>
          <w:i/>
          <w:iCs/>
        </w:rPr>
        <w:t>at Appendix I</w:t>
      </w:r>
      <w:r w:rsidRPr="002A1C9F">
        <w:rPr>
          <w:bCs/>
        </w:rPr>
        <w:t xml:space="preserve"> for publication on the council’s website from April 2022</w:t>
      </w:r>
      <w:r>
        <w:t>;</w:t>
      </w:r>
    </w:p>
    <w:p w14:paraId="4D0424DF" w14:textId="77777777" w:rsidR="008F4AE7" w:rsidRDefault="008F4AE7" w:rsidP="008F4AE7">
      <w:pPr>
        <w:pStyle w:val="ListParagraph"/>
      </w:pPr>
    </w:p>
    <w:p w14:paraId="33075F25"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t xml:space="preserve">   </w:t>
      </w:r>
      <w:r w:rsidRPr="00CA0113">
        <w:t xml:space="preserve">Note </w:t>
      </w:r>
      <w:r w:rsidRPr="002A1C9F">
        <w:rPr>
          <w:bCs/>
        </w:rPr>
        <w:t xml:space="preserve">the budget consultation 2022/23 Report at </w:t>
      </w:r>
      <w:r w:rsidRPr="002A1C9F">
        <w:rPr>
          <w:bCs/>
          <w:i/>
          <w:iCs/>
        </w:rPr>
        <w:t>Appendix J</w:t>
      </w:r>
      <w:r>
        <w:t>;</w:t>
      </w:r>
      <w:r w:rsidRPr="00CA0113">
        <w:t xml:space="preserve"> </w:t>
      </w:r>
    </w:p>
    <w:p w14:paraId="3CD9EA01" w14:textId="77777777" w:rsidR="008F4AE7" w:rsidRDefault="008F4AE7" w:rsidP="008F4AE7">
      <w:pPr>
        <w:pStyle w:val="ListParagraph"/>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ind w:left="927"/>
        <w:jc w:val="both"/>
      </w:pPr>
    </w:p>
    <w:p w14:paraId="0EF300DB" w14:textId="77777777" w:rsidR="008F4AE7" w:rsidRPr="00CA0113" w:rsidRDefault="008F4AE7" w:rsidP="008F4AE7">
      <w:pPr>
        <w:pStyle w:val="ListParagraph"/>
        <w:numPr>
          <w:ilvl w:val="0"/>
          <w:numId w:val="12"/>
        </w:numPr>
        <w:pBdr>
          <w:top w:val="single" w:sz="2" w:space="1" w:color="FFFFFF"/>
          <w:left w:val="single" w:sz="2" w:space="0" w:color="FFFFFF"/>
          <w:bottom w:val="single" w:sz="2" w:space="2" w:color="FFFFFF"/>
          <w:right w:val="single" w:sz="2" w:space="4" w:color="FFFFFF"/>
        </w:pBdr>
        <w:tabs>
          <w:tab w:val="left" w:pos="0"/>
          <w:tab w:val="left" w:pos="567"/>
          <w:tab w:val="left" w:pos="709"/>
        </w:tabs>
        <w:spacing w:after="0" w:line="240" w:lineRule="auto"/>
        <w:jc w:val="both"/>
      </w:pPr>
      <w:r w:rsidRPr="00CA0113">
        <w:t>Note</w:t>
      </w:r>
      <w:r w:rsidRPr="002A1C9F">
        <w:rPr>
          <w:bCs/>
        </w:rPr>
        <w:t xml:space="preserve"> the Assessing the Impact of Budget Proposals 2022/23 Report at </w:t>
      </w:r>
      <w:r w:rsidRPr="002A1C9F">
        <w:rPr>
          <w:bCs/>
          <w:i/>
          <w:iCs/>
        </w:rPr>
        <w:t>Appendix K</w:t>
      </w:r>
      <w:r>
        <w:rPr>
          <w:bCs/>
          <w:i/>
          <w:iCs/>
        </w:rPr>
        <w:t>.</w:t>
      </w:r>
    </w:p>
    <w:p w14:paraId="74A5349A" w14:textId="77777777" w:rsidR="000179AF" w:rsidRPr="00D4431F" w:rsidRDefault="00AB3851" w:rsidP="002A4A7D">
      <w:pPr>
        <w:spacing w:after="0" w:line="240" w:lineRule="auto"/>
        <w:jc w:val="both"/>
        <w:rPr>
          <w:rFonts w:cstheme="minorHAnsi"/>
          <w:bCs/>
        </w:rPr>
      </w:pPr>
    </w:p>
    <w:p w14:paraId="74A5349B" w14:textId="77777777" w:rsidR="000179AF" w:rsidRPr="008F4AE7" w:rsidRDefault="00741C4E" w:rsidP="00ED4FF1">
      <w:pPr>
        <w:pStyle w:val="Heading2"/>
        <w:spacing w:before="0" w:beforeAutospacing="0" w:after="240" w:afterAutospacing="0"/>
        <w:rPr>
          <w:rFonts w:asciiTheme="majorHAnsi" w:hAnsiTheme="majorHAnsi" w:cstheme="majorHAnsi"/>
          <w:sz w:val="12"/>
          <w:szCs w:val="14"/>
        </w:rPr>
      </w:pPr>
      <w:r w:rsidRPr="008F4AE7">
        <w:rPr>
          <w:rFonts w:asciiTheme="majorHAnsi" w:hAnsiTheme="majorHAnsi" w:cstheme="majorHAnsi"/>
          <w:sz w:val="22"/>
          <w:szCs w:val="22"/>
        </w:rPr>
        <w:t>Reasons for recommendations</w:t>
      </w:r>
    </w:p>
    <w:p w14:paraId="74A5349C" w14:textId="1517E107" w:rsidR="000179AF" w:rsidRPr="008F4AE7" w:rsidRDefault="00741C4E" w:rsidP="000179AF">
      <w:pPr>
        <w:numPr>
          <w:ilvl w:val="0"/>
          <w:numId w:val="8"/>
        </w:numPr>
        <w:spacing w:after="0" w:line="240" w:lineRule="auto"/>
        <w:jc w:val="both"/>
        <w:rPr>
          <w:rFonts w:cstheme="minorHAnsi"/>
          <w:bCs/>
          <w:iCs/>
        </w:rPr>
      </w:pPr>
      <w:r w:rsidRPr="008F4AE7">
        <w:rPr>
          <w:rFonts w:cstheme="minorHAnsi"/>
          <w:bCs/>
        </w:rPr>
        <w:t xml:space="preserve"> </w:t>
      </w:r>
      <w:r w:rsidR="008F4AE7" w:rsidRPr="008F4AE7">
        <w:rPr>
          <w:rFonts w:cstheme="minorHAnsi"/>
          <w:bCs/>
        </w:rPr>
        <w:t>To</w:t>
      </w:r>
      <w:r w:rsidRPr="008F4AE7">
        <w:rPr>
          <w:rFonts w:cstheme="minorHAnsi"/>
          <w:bCs/>
          <w:iCs/>
        </w:rPr>
        <w:t xml:space="preserve"> </w:t>
      </w:r>
      <w:r w:rsidR="008F4AE7" w:rsidRPr="008F4AE7">
        <w:t>ensure the Council complies with the statutory requirement to set a balanced budget for 2022/23.</w:t>
      </w:r>
    </w:p>
    <w:p w14:paraId="74A5349D" w14:textId="77777777" w:rsidR="000179AF" w:rsidRPr="008F4AE7" w:rsidRDefault="00AB3851" w:rsidP="000179AF">
      <w:pPr>
        <w:spacing w:after="0" w:line="240" w:lineRule="auto"/>
        <w:ind w:left="720"/>
        <w:jc w:val="both"/>
        <w:rPr>
          <w:rFonts w:cstheme="minorHAnsi"/>
          <w:bCs/>
        </w:rPr>
      </w:pPr>
    </w:p>
    <w:p w14:paraId="74A5349E" w14:textId="77777777" w:rsidR="000179AF" w:rsidRPr="008F4AE7" w:rsidRDefault="00741C4E" w:rsidP="00ED4FF1">
      <w:pPr>
        <w:pStyle w:val="Heading2"/>
        <w:spacing w:before="0" w:beforeAutospacing="0"/>
        <w:rPr>
          <w:rFonts w:asciiTheme="majorHAnsi" w:hAnsiTheme="majorHAnsi" w:cstheme="majorHAnsi"/>
          <w:i/>
          <w:sz w:val="22"/>
          <w:szCs w:val="22"/>
        </w:rPr>
      </w:pPr>
      <w:r w:rsidRPr="008F4AE7">
        <w:rPr>
          <w:rFonts w:asciiTheme="majorHAnsi" w:hAnsiTheme="majorHAnsi" w:cstheme="majorHAnsi"/>
          <w:sz w:val="22"/>
          <w:szCs w:val="22"/>
        </w:rPr>
        <w:t>Other options considered and rejected</w:t>
      </w:r>
    </w:p>
    <w:p w14:paraId="74A5349F" w14:textId="1616E170" w:rsidR="000179AF" w:rsidRPr="008F4AE7" w:rsidRDefault="008F4AE7" w:rsidP="000179AF">
      <w:pPr>
        <w:numPr>
          <w:ilvl w:val="0"/>
          <w:numId w:val="8"/>
        </w:numPr>
        <w:spacing w:after="0" w:line="240" w:lineRule="auto"/>
        <w:jc w:val="both"/>
        <w:rPr>
          <w:rFonts w:cstheme="minorHAnsi"/>
          <w:bCs/>
          <w:iCs/>
        </w:rPr>
      </w:pPr>
      <w:r w:rsidRPr="008F4AE7">
        <w:rPr>
          <w:rFonts w:cstheme="minorHAnsi"/>
          <w:bCs/>
          <w:iCs/>
        </w:rPr>
        <w:t xml:space="preserve">None; </w:t>
      </w:r>
      <w:r w:rsidRPr="008F4AE7">
        <w:t>setting the budget is a statutory requirement.</w:t>
      </w:r>
      <w:r w:rsidR="00741C4E" w:rsidRPr="008F4AE7">
        <w:rPr>
          <w:rFonts w:cstheme="minorHAnsi"/>
          <w:bCs/>
          <w:iCs/>
        </w:rPr>
        <w:t xml:space="preserve"> </w:t>
      </w:r>
    </w:p>
    <w:p w14:paraId="74A534A0" w14:textId="77777777" w:rsidR="000179AF" w:rsidRPr="00D4431F" w:rsidRDefault="00AB3851" w:rsidP="000179AF">
      <w:pPr>
        <w:spacing w:after="0" w:line="240" w:lineRule="auto"/>
        <w:ind w:left="720"/>
        <w:jc w:val="both"/>
        <w:rPr>
          <w:rFonts w:cstheme="minorHAnsi"/>
          <w:bCs/>
          <w:i/>
        </w:rPr>
      </w:pPr>
    </w:p>
    <w:p w14:paraId="74A534A1" w14:textId="77777777" w:rsidR="000179AF" w:rsidRPr="00ED4FF1" w:rsidRDefault="00741C4E"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564B20EE" w14:textId="77777777" w:rsidR="008F4AE7" w:rsidRDefault="00741C4E" w:rsidP="008F4AE7">
      <w:pPr>
        <w:numPr>
          <w:ilvl w:val="0"/>
          <w:numId w:val="8"/>
        </w:numPr>
        <w:tabs>
          <w:tab w:val="left" w:pos="567"/>
        </w:tabs>
        <w:spacing w:after="0" w:line="264" w:lineRule="auto"/>
        <w:jc w:val="both"/>
        <w:rPr>
          <w:rFonts w:eastAsia="Calibri"/>
        </w:rPr>
      </w:pPr>
      <w:r w:rsidRPr="003E3722">
        <w:rPr>
          <w:rFonts w:cstheme="minorHAnsi"/>
          <w:bCs/>
          <w:iCs/>
        </w:rPr>
        <w:t xml:space="preserve">This </w:t>
      </w:r>
      <w:r w:rsidR="008F4AE7">
        <w:rPr>
          <w:rFonts w:eastAsia="Calibri"/>
        </w:rPr>
        <w:t>2022/23 budget and the MTFS for</w:t>
      </w:r>
      <w:r w:rsidR="008F4AE7" w:rsidRPr="00CA0113">
        <w:rPr>
          <w:rFonts w:eastAsia="Calibri"/>
        </w:rPr>
        <w:t xml:space="preserve"> the next 3 years have been updated to take account of the following:</w:t>
      </w:r>
    </w:p>
    <w:p w14:paraId="1B3B384F" w14:textId="77777777" w:rsidR="008F4AE7" w:rsidRDefault="008F4AE7" w:rsidP="008F4AE7">
      <w:pPr>
        <w:numPr>
          <w:ilvl w:val="1"/>
          <w:numId w:val="11"/>
        </w:numPr>
        <w:tabs>
          <w:tab w:val="left" w:pos="567"/>
        </w:tabs>
        <w:spacing w:after="0" w:line="264" w:lineRule="auto"/>
        <w:jc w:val="both"/>
        <w:rPr>
          <w:rFonts w:eastAsia="Calibri"/>
        </w:rPr>
      </w:pPr>
      <w:r>
        <w:rPr>
          <w:rFonts w:eastAsia="Calibri"/>
        </w:rPr>
        <w:t>a</w:t>
      </w:r>
      <w:r w:rsidRPr="00CA0113">
        <w:rPr>
          <w:rFonts w:eastAsia="Calibri"/>
        </w:rPr>
        <w:t xml:space="preserve"> freeze on council tax in 202</w:t>
      </w:r>
      <w:r>
        <w:rPr>
          <w:rFonts w:eastAsia="Calibri"/>
        </w:rPr>
        <w:t>2</w:t>
      </w:r>
      <w:r w:rsidRPr="00CA0113">
        <w:rPr>
          <w:rFonts w:eastAsia="Calibri"/>
        </w:rPr>
        <w:t>/2</w:t>
      </w:r>
      <w:r>
        <w:rPr>
          <w:rFonts w:eastAsia="Calibri"/>
        </w:rPr>
        <w:t>3</w:t>
      </w:r>
      <w:r w:rsidRPr="00CA0113">
        <w:rPr>
          <w:rFonts w:eastAsia="Calibri"/>
        </w:rPr>
        <w:t>.</w:t>
      </w:r>
    </w:p>
    <w:p w14:paraId="49EBED1D" w14:textId="77777777" w:rsidR="008F4AE7" w:rsidRPr="00E47DD7" w:rsidRDefault="008F4AE7" w:rsidP="008F4AE7">
      <w:pPr>
        <w:numPr>
          <w:ilvl w:val="1"/>
          <w:numId w:val="11"/>
        </w:numPr>
        <w:tabs>
          <w:tab w:val="left" w:pos="567"/>
        </w:tabs>
        <w:spacing w:after="0" w:line="264" w:lineRule="auto"/>
        <w:jc w:val="both"/>
        <w:rPr>
          <w:rFonts w:eastAsia="Calibri"/>
        </w:rPr>
      </w:pPr>
      <w:r w:rsidRPr="00E47DD7">
        <w:rPr>
          <w:rFonts w:eastAsia="Calibri"/>
        </w:rPr>
        <w:t xml:space="preserve">a freeze on council tax in 2023/24 and a </w:t>
      </w:r>
      <w:r w:rsidRPr="00E47DD7">
        <w:t>1.99% increase in council tax in 2024/25</w:t>
      </w:r>
      <w:r>
        <w:t xml:space="preserve">, although these </w:t>
      </w:r>
      <w:r>
        <w:rPr>
          <w:rFonts w:eastAsia="Calibri"/>
        </w:rPr>
        <w:t xml:space="preserve">proposals will be revisited each year as part of the budget setting process and will be dependent upon the outcome of the government’s </w:t>
      </w:r>
      <w:r w:rsidRPr="00E47DD7">
        <w:rPr>
          <w:rFonts w:eastAsia="Calibri"/>
        </w:rPr>
        <w:t xml:space="preserve">reviews of </w:t>
      </w:r>
      <w:r w:rsidRPr="00E47DD7">
        <w:t xml:space="preserve">both the future funding framework and the future distribution of funding between councils; </w:t>
      </w:r>
    </w:p>
    <w:p w14:paraId="7AF45722" w14:textId="77777777" w:rsidR="008F4AE7" w:rsidRPr="00524BEE" w:rsidRDefault="008F4AE7" w:rsidP="008F4AE7">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47DD7">
        <w:t>continued investment in ongoing revenue</w:t>
      </w:r>
      <w:r w:rsidRPr="00524BEE">
        <w:t xml:space="preserve"> budgets to ensure delivery of corporate strategy priorities</w:t>
      </w:r>
      <w:r>
        <w:t xml:space="preserve"> of over </w:t>
      </w:r>
      <w:r w:rsidRPr="00132ADF">
        <w:t>£1million;</w:t>
      </w:r>
    </w:p>
    <w:p w14:paraId="0ABFBF3F" w14:textId="77777777" w:rsidR="008F4AE7" w:rsidRPr="00524BEE" w:rsidRDefault="008F4AE7" w:rsidP="008F4AE7">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c</w:t>
      </w:r>
      <w:r w:rsidRPr="00524BEE">
        <w:t xml:space="preserve">apital investments of </w:t>
      </w:r>
      <w:r w:rsidRPr="00E47DD7">
        <w:t>over £71.6m</w:t>
      </w:r>
      <w:r w:rsidRPr="00524BEE">
        <w:t xml:space="preserve"> are included in respect of corporate priority projects;</w:t>
      </w:r>
    </w:p>
    <w:p w14:paraId="79188C28" w14:textId="77777777" w:rsidR="008F4AE7" w:rsidRPr="00014271" w:rsidRDefault="008F4AE7" w:rsidP="008F4AE7">
      <w:pPr>
        <w:numPr>
          <w:ilvl w:val="1"/>
          <w:numId w:val="11"/>
        </w:numPr>
        <w:tabs>
          <w:tab w:val="left" w:pos="567"/>
        </w:tabs>
        <w:spacing w:after="0" w:line="264" w:lineRule="auto"/>
        <w:jc w:val="both"/>
        <w:rPr>
          <w:rFonts w:eastAsia="Calibri"/>
        </w:rPr>
      </w:pPr>
      <w:r>
        <w:t>t</w:t>
      </w:r>
      <w:r w:rsidRPr="00524BEE">
        <w:t xml:space="preserve">he figures incorporate strategies to reduce the budget deficit over the medium </w:t>
      </w:r>
      <w:r>
        <w:t>term</w:t>
      </w:r>
    </w:p>
    <w:p w14:paraId="3DC5C42E" w14:textId="77777777" w:rsidR="008F4AE7" w:rsidRDefault="008F4AE7" w:rsidP="008F4AE7">
      <w:pPr>
        <w:spacing w:after="0" w:line="264" w:lineRule="auto"/>
        <w:ind w:left="567"/>
        <w:jc w:val="both"/>
        <w:rPr>
          <w:rFonts w:eastAsia="Calibri"/>
        </w:rPr>
      </w:pPr>
    </w:p>
    <w:p w14:paraId="6703F70B" w14:textId="77777777" w:rsidR="008F4AE7" w:rsidRPr="004F1D4C" w:rsidRDefault="008F4AE7" w:rsidP="008F4AE7">
      <w:pPr>
        <w:pStyle w:val="ListParagraph"/>
        <w:numPr>
          <w:ilvl w:val="0"/>
          <w:numId w:val="8"/>
        </w:numPr>
        <w:spacing w:after="0" w:line="240" w:lineRule="auto"/>
        <w:jc w:val="both"/>
        <w:rPr>
          <w:rFonts w:cs="Arial"/>
          <w:szCs w:val="16"/>
        </w:rPr>
      </w:pPr>
      <w:r w:rsidRPr="004F1D4C">
        <w:rPr>
          <w:rFonts w:cs="Arial"/>
          <w:szCs w:val="16"/>
        </w:rPr>
        <w:t xml:space="preserve">The report presents a balanced budget for 2022/23 and, based on current assumptions detailed within the report, forecasts deficits of £0.619m for 2023/24 and £0.732m for 2024/25, </w:t>
      </w:r>
      <w:r>
        <w:rPr>
          <w:rFonts w:cs="Arial"/>
          <w:szCs w:val="16"/>
        </w:rPr>
        <w:t>h</w:t>
      </w:r>
      <w:r w:rsidRPr="004F1D4C">
        <w:rPr>
          <w:rFonts w:cs="Arial"/>
          <w:szCs w:val="16"/>
        </w:rPr>
        <w:t xml:space="preserve">owever, the council is ambitious in its approach to meeting the budget deficit through generating efficiency savings, such as those already realised through shared services, and additional income generated through investments within the borough. </w:t>
      </w:r>
    </w:p>
    <w:p w14:paraId="1E295523" w14:textId="77777777" w:rsidR="008F4AE7" w:rsidRPr="00CA0113" w:rsidRDefault="008F4AE7" w:rsidP="008F4AE7">
      <w:pPr>
        <w:spacing w:after="0" w:line="240" w:lineRule="auto"/>
        <w:jc w:val="both"/>
        <w:rPr>
          <w:rFonts w:cs="Arial"/>
          <w:szCs w:val="16"/>
        </w:rPr>
      </w:pPr>
    </w:p>
    <w:p w14:paraId="32B3E806" w14:textId="77777777" w:rsidR="008F4AE7" w:rsidRPr="00BE21FB" w:rsidRDefault="008F4AE7" w:rsidP="008F4AE7">
      <w:pPr>
        <w:pStyle w:val="ListParagraph"/>
        <w:numPr>
          <w:ilvl w:val="0"/>
          <w:numId w:val="8"/>
        </w:numPr>
        <w:spacing w:after="0" w:line="240" w:lineRule="auto"/>
        <w:jc w:val="both"/>
      </w:pPr>
      <w:r w:rsidRPr="00BE21FB">
        <w:lastRenderedPageBreak/>
        <w:t xml:space="preserve">The council is expanding its capital programme with large scale investments included in the budget over the coming three years.  </w:t>
      </w:r>
    </w:p>
    <w:p w14:paraId="3AD8EC85" w14:textId="77777777" w:rsidR="008F4AE7" w:rsidRDefault="008F4AE7" w:rsidP="008F4AE7">
      <w:pPr>
        <w:pStyle w:val="ListParagraph"/>
      </w:pPr>
    </w:p>
    <w:p w14:paraId="2EF688F4" w14:textId="77777777" w:rsidR="008F4AE7" w:rsidRPr="00C25B13" w:rsidRDefault="008F4AE7" w:rsidP="008F4AE7">
      <w:pPr>
        <w:pStyle w:val="ListParagraph"/>
        <w:numPr>
          <w:ilvl w:val="0"/>
          <w:numId w:val="8"/>
        </w:numPr>
        <w:spacing w:after="0" w:line="240" w:lineRule="auto"/>
        <w:jc w:val="both"/>
      </w:pPr>
      <w:r>
        <w:t xml:space="preserve">The </w:t>
      </w:r>
      <w:r w:rsidRPr="0048108C">
        <w:t>budget is set to ensure the objectives of the council’s Corporate Strategy priorities are met</w:t>
      </w:r>
      <w:r w:rsidRPr="00C25B13">
        <w:t>;</w:t>
      </w:r>
    </w:p>
    <w:p w14:paraId="42F0BBED" w14:textId="77777777" w:rsidR="008F4AE7" w:rsidRPr="00C25B13" w:rsidRDefault="008F4AE7" w:rsidP="008F4AE7">
      <w:pPr>
        <w:pStyle w:val="ListParagraph"/>
      </w:pPr>
    </w:p>
    <w:p w14:paraId="28665149" w14:textId="77777777" w:rsidR="008F4AE7" w:rsidRPr="00BE21FB" w:rsidRDefault="008F4AE7" w:rsidP="008F4AE7">
      <w:pPr>
        <w:pStyle w:val="ListParagraph"/>
        <w:numPr>
          <w:ilvl w:val="0"/>
          <w:numId w:val="14"/>
        </w:numPr>
        <w:tabs>
          <w:tab w:val="clear" w:pos="567"/>
          <w:tab w:val="num" w:pos="1134"/>
        </w:tabs>
        <w:spacing w:after="0" w:line="240" w:lineRule="auto"/>
        <w:ind w:left="1134"/>
        <w:jc w:val="both"/>
      </w:pPr>
      <w:r w:rsidRPr="00BE21FB">
        <w:rPr>
          <w:rFonts w:cs="Arial"/>
          <w:i/>
          <w:iCs/>
          <w:lang w:eastAsia="en-GB"/>
        </w:rPr>
        <w:t>An exemplary council</w:t>
      </w:r>
      <w:r w:rsidRPr="00BE21FB">
        <w:rPr>
          <w:rFonts w:cs="Arial"/>
          <w:lang w:eastAsia="en-GB"/>
        </w:rPr>
        <w:t xml:space="preserve"> – we will continue to work with our residents to </w:t>
      </w:r>
      <w:r w:rsidRPr="00BE21FB">
        <w:rPr>
          <w:rFonts w:cs="Arial"/>
          <w:lang w:val="en-US"/>
        </w:rPr>
        <w:t>address climate change and achieve our commitment of being a carbon neutral council by 2030</w:t>
      </w:r>
      <w:r w:rsidRPr="00BE21FB">
        <w:rPr>
          <w:rFonts w:cs="Arial"/>
          <w:lang w:eastAsia="en-GB"/>
        </w:rPr>
        <w:t xml:space="preserve"> </w:t>
      </w:r>
    </w:p>
    <w:p w14:paraId="78491D5B" w14:textId="77777777" w:rsidR="008F4AE7" w:rsidRPr="00BE21FB" w:rsidRDefault="008F4AE7" w:rsidP="008F4AE7">
      <w:pPr>
        <w:pStyle w:val="ListParagraph"/>
        <w:numPr>
          <w:ilvl w:val="0"/>
          <w:numId w:val="14"/>
        </w:numPr>
        <w:tabs>
          <w:tab w:val="clear" w:pos="567"/>
          <w:tab w:val="num" w:pos="1134"/>
        </w:tabs>
        <w:spacing w:after="0" w:line="240" w:lineRule="auto"/>
        <w:ind w:left="1134"/>
        <w:jc w:val="both"/>
      </w:pPr>
      <w:r w:rsidRPr="00BE21FB">
        <w:rPr>
          <w:rFonts w:cs="Arial"/>
          <w:i/>
          <w:iCs/>
          <w:lang w:eastAsia="en-GB"/>
        </w:rPr>
        <w:t>Thriving communities</w:t>
      </w:r>
      <w:r w:rsidRPr="00BE21FB">
        <w:rPr>
          <w:rFonts w:cs="Arial"/>
          <w:lang w:eastAsia="en-GB"/>
        </w:rPr>
        <w:t xml:space="preserve"> – providing </w:t>
      </w:r>
      <w:r w:rsidRPr="00BE21FB">
        <w:t xml:space="preserve">support and grants for businesses and developing our approach to apprenticeships, </w:t>
      </w:r>
      <w:proofErr w:type="gramStart"/>
      <w:r w:rsidRPr="00BE21FB">
        <w:t>graduate</w:t>
      </w:r>
      <w:proofErr w:type="gramEnd"/>
      <w:r w:rsidRPr="00BE21FB">
        <w:t xml:space="preserve"> and training posts in areas of high market demand and supporting people into high quality employment;</w:t>
      </w:r>
    </w:p>
    <w:p w14:paraId="27F822F9" w14:textId="6F4B84B4" w:rsidR="008F4AE7" w:rsidRPr="008F4AE7" w:rsidRDefault="008F4AE7" w:rsidP="008F4AE7">
      <w:pPr>
        <w:pStyle w:val="ListParagraph"/>
        <w:numPr>
          <w:ilvl w:val="0"/>
          <w:numId w:val="14"/>
        </w:numPr>
        <w:tabs>
          <w:tab w:val="clear" w:pos="567"/>
          <w:tab w:val="num" w:pos="1134"/>
        </w:tabs>
        <w:spacing w:after="0" w:line="240" w:lineRule="auto"/>
        <w:ind w:left="1134"/>
        <w:jc w:val="both"/>
      </w:pPr>
      <w:r w:rsidRPr="00BE21FB">
        <w:rPr>
          <w:rFonts w:cs="Arial"/>
          <w:i/>
          <w:iCs/>
          <w:lang w:eastAsia="en-GB"/>
        </w:rPr>
        <w:t>A fair local economy that works for everyone</w:t>
      </w:r>
      <w:r w:rsidRPr="00BE21FB">
        <w:rPr>
          <w:rFonts w:cs="Arial"/>
          <w:lang w:eastAsia="en-GB"/>
        </w:rPr>
        <w:t xml:space="preserve"> – investing in our local play and community facilities, supporting the delivery of affordable </w:t>
      </w:r>
      <w:proofErr w:type="gramStart"/>
      <w:r w:rsidRPr="00BE21FB">
        <w:rPr>
          <w:rFonts w:cs="Arial"/>
          <w:lang w:eastAsia="en-GB"/>
        </w:rPr>
        <w:t>homes</w:t>
      </w:r>
      <w:proofErr w:type="gramEnd"/>
      <w:r w:rsidRPr="00BE21FB">
        <w:rPr>
          <w:rFonts w:cs="Arial"/>
          <w:lang w:eastAsia="en-GB"/>
        </w:rPr>
        <w:t xml:space="preserve"> and improving our leisure centres</w:t>
      </w:r>
      <w:r w:rsidRPr="00BE21FB">
        <w:rPr>
          <w:rFonts w:cs="Arial"/>
        </w:rPr>
        <w:t>;</w:t>
      </w:r>
    </w:p>
    <w:p w14:paraId="3F2EDD2F" w14:textId="77777777" w:rsidR="008F4AE7" w:rsidRPr="00BE21FB" w:rsidRDefault="008F4AE7" w:rsidP="008F4AE7">
      <w:pPr>
        <w:pStyle w:val="ListParagraph"/>
        <w:tabs>
          <w:tab w:val="num" w:pos="1134"/>
        </w:tabs>
        <w:spacing w:after="0" w:line="240" w:lineRule="auto"/>
        <w:ind w:left="1134"/>
        <w:jc w:val="both"/>
      </w:pPr>
    </w:p>
    <w:p w14:paraId="74A534A2" w14:textId="5B4159E8" w:rsidR="000179AF" w:rsidRPr="003E3722" w:rsidRDefault="008F4AE7" w:rsidP="008F4AE7">
      <w:pPr>
        <w:numPr>
          <w:ilvl w:val="0"/>
          <w:numId w:val="8"/>
        </w:numPr>
        <w:spacing w:after="0" w:line="240" w:lineRule="auto"/>
        <w:jc w:val="both"/>
        <w:rPr>
          <w:rFonts w:cstheme="minorHAnsi"/>
          <w:bCs/>
          <w:iCs/>
        </w:rPr>
      </w:pPr>
      <w:r w:rsidRPr="00BE21FB">
        <w:rPr>
          <w:rFonts w:cs="Arial"/>
          <w:i/>
          <w:iCs/>
          <w:lang w:eastAsia="en-GB"/>
        </w:rPr>
        <w:t xml:space="preserve">Good homes, green spaces, healthy places </w:t>
      </w:r>
      <w:r w:rsidRPr="00BE21FB">
        <w:rPr>
          <w:rFonts w:cs="Arial"/>
          <w:lang w:eastAsia="en-GB"/>
        </w:rPr>
        <w:t xml:space="preserve">- </w:t>
      </w:r>
      <w:r w:rsidRPr="00BE21FB">
        <w:rPr>
          <w:rFonts w:cs="Arial"/>
        </w:rPr>
        <w:t>making improvements across the Borough, supporting our young people, health and wellbeing and local areas</w:t>
      </w:r>
      <w:r w:rsidRPr="003E3722">
        <w:rPr>
          <w:rFonts w:cstheme="minorHAnsi"/>
          <w:bCs/>
          <w:iCs/>
        </w:rPr>
        <w:t xml:space="preserve"> </w:t>
      </w:r>
      <w:r w:rsidR="00741C4E" w:rsidRPr="003E3722">
        <w:rPr>
          <w:rFonts w:cstheme="minorHAnsi"/>
          <w:bCs/>
          <w:iCs/>
        </w:rPr>
        <w:t xml:space="preserve">is only necessary for reports of longer than 4 sides </w:t>
      </w:r>
      <w:r w:rsidR="00741C4E">
        <w:rPr>
          <w:rFonts w:cstheme="minorHAnsi"/>
          <w:bCs/>
          <w:iCs/>
        </w:rPr>
        <w:t>and should include detail on HR and customer service implications of the decision.</w:t>
      </w:r>
      <w:r w:rsidR="00741C4E" w:rsidRPr="003E3722">
        <w:rPr>
          <w:rFonts w:cstheme="minorHAnsi"/>
          <w:bCs/>
          <w:iCs/>
        </w:rPr>
        <w:t xml:space="preserve"> </w:t>
      </w:r>
    </w:p>
    <w:p w14:paraId="74A534A3" w14:textId="77777777" w:rsidR="000179AF" w:rsidRPr="00D4431F" w:rsidRDefault="00AB3851" w:rsidP="000179AF">
      <w:pPr>
        <w:spacing w:after="0" w:line="240" w:lineRule="auto"/>
        <w:ind w:left="720"/>
        <w:jc w:val="both"/>
        <w:rPr>
          <w:rFonts w:cstheme="minorHAnsi"/>
          <w:bCs/>
        </w:rPr>
      </w:pPr>
    </w:p>
    <w:p w14:paraId="74A534A4" w14:textId="77777777" w:rsidR="000179AF" w:rsidRPr="00ED4FF1" w:rsidRDefault="00741C4E"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4A534A5" w14:textId="77777777" w:rsidR="000179AF" w:rsidRDefault="00741C4E"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74A534A6" w14:textId="77777777" w:rsidR="002A4A7D" w:rsidRPr="006149F1" w:rsidRDefault="00AB3851"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F60B50" w14:paraId="74A534A9" w14:textId="77777777" w:rsidTr="00BF1CCE">
        <w:tc>
          <w:tcPr>
            <w:tcW w:w="4848" w:type="dxa"/>
            <w:shd w:val="clear" w:color="auto" w:fill="auto"/>
            <w:vAlign w:val="center"/>
          </w:tcPr>
          <w:p w14:paraId="74A534A7" w14:textId="77777777" w:rsidR="001073DC" w:rsidRPr="008F4AE7" w:rsidRDefault="00741C4E" w:rsidP="00BF1CCE">
            <w:pPr>
              <w:spacing w:line="240" w:lineRule="auto"/>
              <w:jc w:val="center"/>
              <w:rPr>
                <w:rFonts w:cstheme="minorHAnsi"/>
                <w:b/>
              </w:rPr>
            </w:pPr>
            <w:r w:rsidRPr="008F4AE7">
              <w:rPr>
                <w:rFonts w:cstheme="minorHAnsi"/>
                <w:b/>
              </w:rPr>
              <w:t>An exemplary council</w:t>
            </w:r>
          </w:p>
        </w:tc>
        <w:tc>
          <w:tcPr>
            <w:tcW w:w="4678" w:type="dxa"/>
            <w:vAlign w:val="center"/>
          </w:tcPr>
          <w:p w14:paraId="74A534A8" w14:textId="77777777" w:rsidR="001073DC" w:rsidRPr="008F4AE7" w:rsidRDefault="00741C4E" w:rsidP="00BF1CCE">
            <w:pPr>
              <w:spacing w:line="240" w:lineRule="auto"/>
              <w:jc w:val="center"/>
              <w:rPr>
                <w:rFonts w:cstheme="minorHAnsi"/>
                <w:b/>
              </w:rPr>
            </w:pPr>
            <w:r w:rsidRPr="008F4AE7">
              <w:rPr>
                <w:rFonts w:cstheme="minorHAnsi"/>
                <w:b/>
              </w:rPr>
              <w:t>Thriving communities</w:t>
            </w:r>
          </w:p>
        </w:tc>
      </w:tr>
      <w:tr w:rsidR="00F60B50" w14:paraId="74A534AC" w14:textId="77777777" w:rsidTr="00BF1CCE">
        <w:tc>
          <w:tcPr>
            <w:tcW w:w="4848" w:type="dxa"/>
            <w:shd w:val="clear" w:color="auto" w:fill="auto"/>
            <w:vAlign w:val="center"/>
          </w:tcPr>
          <w:p w14:paraId="74A534AA" w14:textId="77777777" w:rsidR="001073DC" w:rsidRPr="008F4AE7" w:rsidRDefault="00741C4E" w:rsidP="00BF1CCE">
            <w:pPr>
              <w:spacing w:line="240" w:lineRule="auto"/>
              <w:jc w:val="center"/>
              <w:rPr>
                <w:rFonts w:cstheme="minorHAnsi"/>
                <w:b/>
              </w:rPr>
            </w:pPr>
            <w:r w:rsidRPr="008F4AE7">
              <w:rPr>
                <w:rFonts w:cstheme="minorHAnsi"/>
                <w:b/>
              </w:rPr>
              <w:t>A fair local economy that works for everyone</w:t>
            </w:r>
          </w:p>
        </w:tc>
        <w:tc>
          <w:tcPr>
            <w:tcW w:w="4678" w:type="dxa"/>
            <w:vAlign w:val="center"/>
          </w:tcPr>
          <w:p w14:paraId="74A534AB" w14:textId="77777777" w:rsidR="001073DC" w:rsidRPr="008F4AE7" w:rsidRDefault="00741C4E" w:rsidP="00BF1CCE">
            <w:pPr>
              <w:spacing w:line="240" w:lineRule="auto"/>
              <w:jc w:val="center"/>
              <w:rPr>
                <w:rFonts w:cstheme="minorHAnsi"/>
                <w:b/>
              </w:rPr>
            </w:pPr>
            <w:r w:rsidRPr="008F4AE7">
              <w:rPr>
                <w:rFonts w:cstheme="minorHAnsi"/>
                <w:b/>
              </w:rPr>
              <w:t>Good homes, green spaces, healthy places</w:t>
            </w:r>
          </w:p>
        </w:tc>
      </w:tr>
    </w:tbl>
    <w:p w14:paraId="74A534AD" w14:textId="77777777" w:rsidR="000179AF" w:rsidRPr="00D4431F" w:rsidRDefault="00AB3851" w:rsidP="000179AF">
      <w:pPr>
        <w:spacing w:line="240" w:lineRule="auto"/>
        <w:jc w:val="both"/>
        <w:rPr>
          <w:rFonts w:cstheme="minorHAnsi"/>
          <w:bCs/>
        </w:rPr>
      </w:pPr>
    </w:p>
    <w:p w14:paraId="74A534AE" w14:textId="77777777" w:rsidR="000179AF" w:rsidRPr="00ED4FF1" w:rsidRDefault="00741C4E"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07573E07" w14:textId="77777777" w:rsidR="008F4AE7" w:rsidRDefault="00741C4E" w:rsidP="008F4AE7">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3E3722">
        <w:rPr>
          <w:rFonts w:cstheme="minorHAnsi"/>
          <w:bCs/>
          <w:iCs/>
        </w:rPr>
        <w:t xml:space="preserve">A </w:t>
      </w:r>
      <w:r w:rsidR="008F4AE7" w:rsidRPr="00CA0113">
        <w:t xml:space="preserve">Cabinet </w:t>
      </w:r>
      <w:r w:rsidR="008F4AE7">
        <w:t xml:space="preserve">considered their </w:t>
      </w:r>
      <w:r w:rsidR="008F4AE7" w:rsidRPr="00CA0113">
        <w:t>202</w:t>
      </w:r>
      <w:r w:rsidR="008F4AE7">
        <w:t>2</w:t>
      </w:r>
      <w:r w:rsidR="008F4AE7" w:rsidRPr="00CA0113">
        <w:t>/2</w:t>
      </w:r>
      <w:r w:rsidR="008F4AE7">
        <w:t>3</w:t>
      </w:r>
      <w:r w:rsidR="008F4AE7" w:rsidRPr="00CA0113">
        <w:t xml:space="preserve"> Draft Budget and Summary Budget Position over the Medium Term</w:t>
      </w:r>
      <w:r w:rsidR="008F4AE7">
        <w:t>’</w:t>
      </w:r>
      <w:r w:rsidR="008F4AE7" w:rsidRPr="00CA0113">
        <w:t xml:space="preserve"> </w:t>
      </w:r>
      <w:r w:rsidR="008F4AE7">
        <w:t xml:space="preserve">for recommendation to Full Council at their meeting </w:t>
      </w:r>
      <w:r w:rsidR="008F4AE7" w:rsidRPr="00CA0113">
        <w:t xml:space="preserve">on </w:t>
      </w:r>
      <w:r w:rsidR="008F4AE7">
        <w:t>9</w:t>
      </w:r>
      <w:r w:rsidR="008F4AE7" w:rsidRPr="00CA0113">
        <w:t xml:space="preserve"> February 202</w:t>
      </w:r>
      <w:r w:rsidR="008F4AE7">
        <w:t>2</w:t>
      </w:r>
      <w:r w:rsidR="008F4AE7" w:rsidRPr="00CA0113">
        <w:t xml:space="preserve">.The report set out the </w:t>
      </w:r>
      <w:r w:rsidR="008F4AE7">
        <w:t>C</w:t>
      </w:r>
      <w:r w:rsidR="008F4AE7" w:rsidRPr="00CA0113">
        <w:t xml:space="preserve">abinet’s intention for spending and investment in the borough </w:t>
      </w:r>
      <w:r w:rsidR="008F4AE7">
        <w:t xml:space="preserve">over the course of the 2022/23 </w:t>
      </w:r>
      <w:r w:rsidR="008F4AE7" w:rsidRPr="00CA0113">
        <w:t>financial year</w:t>
      </w:r>
      <w:r w:rsidR="008F4AE7">
        <w:t>.</w:t>
      </w:r>
      <w:r w:rsidR="008F4AE7" w:rsidRPr="00CA0113">
        <w:t xml:space="preserve"> </w:t>
      </w:r>
    </w:p>
    <w:p w14:paraId="38F3498B" w14:textId="77777777" w:rsidR="008F4AE7" w:rsidRDefault="008F4AE7" w:rsidP="008F4AE7">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68591968" w14:textId="77777777" w:rsidR="008F4AE7" w:rsidRPr="000F4824" w:rsidRDefault="008F4AE7" w:rsidP="008F4AE7">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At that time however the government had just published the Final Local Government Settlement which included a change to the figures and information published in the Provisional Local Government Settlement published on 16 December 2021. This has impacted on all councils and relates to additional S31 grant to be paid to compensate councils following restrictions on the uplift in Business Rate charges </w:t>
      </w:r>
      <w:r>
        <w:rPr>
          <w:rFonts w:ascii="Arial" w:hAnsi="Arial" w:cs="Arial"/>
        </w:rPr>
        <w:t xml:space="preserve">in 22/23. The additional funding relates to the indexation of this ‘lost increase’; as a </w:t>
      </w:r>
      <w:proofErr w:type="gramStart"/>
      <w:r>
        <w:rPr>
          <w:rFonts w:ascii="Arial" w:hAnsi="Arial" w:cs="Arial"/>
        </w:rPr>
        <w:t>result</w:t>
      </w:r>
      <w:proofErr w:type="gramEnd"/>
      <w:r>
        <w:rPr>
          <w:rFonts w:ascii="Arial" w:hAnsi="Arial" w:cs="Arial"/>
        </w:rPr>
        <w:t xml:space="preserve"> the council will receive an additional £300k of funding.</w:t>
      </w:r>
    </w:p>
    <w:p w14:paraId="3D30A8A9" w14:textId="77777777" w:rsidR="008F4AE7" w:rsidRPr="00132ADF" w:rsidRDefault="008F4AE7" w:rsidP="008F4AE7">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0EC33B3B" w14:textId="77777777" w:rsidR="008F4AE7" w:rsidRPr="00FD3F78" w:rsidRDefault="008F4AE7" w:rsidP="008F4AE7">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Pr>
          <w:rFonts w:ascii="Arial" w:hAnsi="Arial" w:cs="Arial"/>
        </w:rPr>
        <w:t>In addition, and again related to Business Rates, the council submitted its NNDR1 Business Rates return on 31</w:t>
      </w:r>
      <w:r w:rsidRPr="000F4824">
        <w:rPr>
          <w:rFonts w:ascii="Arial" w:hAnsi="Arial" w:cs="Arial"/>
          <w:vertAlign w:val="superscript"/>
        </w:rPr>
        <w:t>st</w:t>
      </w:r>
      <w:r>
        <w:rPr>
          <w:rFonts w:ascii="Arial" w:hAnsi="Arial" w:cs="Arial"/>
        </w:rPr>
        <w:t xml:space="preserve"> January to government. An increase in the Business Rates base has given rise to an additional £300k over and above that included within the 2022/23 Draft Budget report considered by Cabinet.</w:t>
      </w:r>
    </w:p>
    <w:p w14:paraId="72C4061F" w14:textId="77777777" w:rsidR="008F4AE7" w:rsidRPr="00132ADF" w:rsidRDefault="008F4AE7" w:rsidP="008F4AE7">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652BBC3C" w14:textId="77777777" w:rsidR="008F4AE7" w:rsidRPr="008064B8" w:rsidRDefault="008F4AE7" w:rsidP="008F4AE7">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Pr>
          <w:rFonts w:ascii="Arial" w:hAnsi="Arial" w:cs="Arial"/>
        </w:rPr>
        <w:lastRenderedPageBreak/>
        <w:t xml:space="preserve">As a consequence of the above increases, the Cabinet has re-considered the recommendations they were intending to make to Full Council, and also taking into consideration the </w:t>
      </w:r>
      <w:r w:rsidRPr="008064B8">
        <w:rPr>
          <w:rFonts w:ascii="Arial" w:hAnsi="Arial" w:cs="Arial"/>
        </w:rPr>
        <w:t>feedback from the results of the Budget Consultation, and they are now recommending that the additional funding is used to;</w:t>
      </w:r>
    </w:p>
    <w:p w14:paraId="59E13611" w14:textId="77777777" w:rsidR="008F4AE7" w:rsidRPr="008064B8" w:rsidRDefault="008F4AE7" w:rsidP="008F4AE7">
      <w:pPr>
        <w:numPr>
          <w:ilvl w:val="0"/>
          <w:numId w:val="15"/>
        </w:numPr>
        <w:pBdr>
          <w:top w:val="single" w:sz="2" w:space="1" w:color="FFFFFF"/>
          <w:left w:val="single" w:sz="2" w:space="0" w:color="FFFFFF"/>
          <w:bottom w:val="single" w:sz="2" w:space="2" w:color="FFFFFF"/>
          <w:right w:val="single" w:sz="2" w:space="4" w:color="FFFFFF"/>
        </w:pBdr>
        <w:spacing w:after="0" w:line="240" w:lineRule="auto"/>
        <w:ind w:right="141"/>
        <w:jc w:val="both"/>
      </w:pPr>
      <w:r w:rsidRPr="008064B8">
        <w:rPr>
          <w:rFonts w:ascii="Arial" w:hAnsi="Arial" w:cs="Arial"/>
        </w:rPr>
        <w:t>Freeze Council Tax in 2022/23</w:t>
      </w:r>
    </w:p>
    <w:p w14:paraId="2FE41613" w14:textId="77777777" w:rsidR="008F4AE7" w:rsidRPr="008064B8" w:rsidRDefault="008F4AE7" w:rsidP="008F4AE7">
      <w:pPr>
        <w:numPr>
          <w:ilvl w:val="0"/>
          <w:numId w:val="15"/>
        </w:numPr>
        <w:pBdr>
          <w:top w:val="single" w:sz="2" w:space="1" w:color="FFFFFF"/>
          <w:left w:val="single" w:sz="2" w:space="0" w:color="FFFFFF"/>
          <w:bottom w:val="single" w:sz="2" w:space="2" w:color="FFFFFF"/>
          <w:right w:val="single" w:sz="2" w:space="4" w:color="FFFFFF"/>
        </w:pBdr>
        <w:spacing w:after="0" w:line="240" w:lineRule="auto"/>
        <w:ind w:right="141"/>
        <w:jc w:val="both"/>
      </w:pPr>
      <w:r w:rsidRPr="008064B8">
        <w:rPr>
          <w:rFonts w:ascii="Arial" w:hAnsi="Arial" w:cs="Arial"/>
        </w:rPr>
        <w:t>Increase investment in the Boost Funds and in our sports and community organisations</w:t>
      </w:r>
    </w:p>
    <w:p w14:paraId="5C2F9FF5" w14:textId="77777777" w:rsidR="008F4AE7" w:rsidRPr="008064B8" w:rsidRDefault="008F4AE7" w:rsidP="008F4AE7">
      <w:pPr>
        <w:numPr>
          <w:ilvl w:val="0"/>
          <w:numId w:val="15"/>
        </w:numPr>
        <w:pBdr>
          <w:top w:val="single" w:sz="2" w:space="1" w:color="FFFFFF"/>
          <w:left w:val="single" w:sz="2" w:space="0" w:color="FFFFFF"/>
          <w:bottom w:val="single" w:sz="2" w:space="2" w:color="FFFFFF"/>
          <w:right w:val="single" w:sz="2" w:space="4" w:color="FFFFFF"/>
        </w:pBdr>
        <w:spacing w:after="0" w:line="240" w:lineRule="auto"/>
        <w:ind w:right="141"/>
        <w:jc w:val="both"/>
      </w:pPr>
      <w:r w:rsidRPr="008064B8">
        <w:rPr>
          <w:rFonts w:ascii="Arial" w:hAnsi="Arial" w:cs="Arial"/>
        </w:rPr>
        <w:t xml:space="preserve">Increase the </w:t>
      </w:r>
      <w:proofErr w:type="spellStart"/>
      <w:r w:rsidRPr="008064B8">
        <w:t>Covid</w:t>
      </w:r>
      <w:proofErr w:type="spellEnd"/>
      <w:r w:rsidRPr="008064B8">
        <w:t xml:space="preserve"> Recovery reserve to support the council, communities, </w:t>
      </w:r>
      <w:proofErr w:type="gramStart"/>
      <w:r w:rsidRPr="008064B8">
        <w:t>residents</w:t>
      </w:r>
      <w:proofErr w:type="gramEnd"/>
      <w:r w:rsidRPr="008064B8">
        <w:t xml:space="preserve"> and businesses in the recovery from the pandemic.</w:t>
      </w:r>
    </w:p>
    <w:p w14:paraId="2A1857AA" w14:textId="77777777" w:rsidR="008F4AE7" w:rsidRPr="008064B8" w:rsidRDefault="008F4AE7" w:rsidP="008F4AE7">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74A534AF" w14:textId="02E7F08D" w:rsidR="000179AF" w:rsidRPr="003E3722" w:rsidRDefault="008F4AE7" w:rsidP="008F4AE7">
      <w:pPr>
        <w:numPr>
          <w:ilvl w:val="0"/>
          <w:numId w:val="8"/>
        </w:numPr>
        <w:spacing w:after="0" w:line="240" w:lineRule="auto"/>
        <w:jc w:val="both"/>
        <w:rPr>
          <w:rFonts w:cstheme="minorHAnsi"/>
          <w:bCs/>
          <w:iCs/>
        </w:rPr>
      </w:pPr>
      <w:r w:rsidRPr="00CA0113">
        <w:t>These papers expand upon that report and set out in more detail for Council the Cabinet’s budget proposals in 202</w:t>
      </w:r>
      <w:r>
        <w:t>2</w:t>
      </w:r>
      <w:r w:rsidRPr="00CA0113">
        <w:t>/2</w:t>
      </w:r>
      <w:r>
        <w:t>3</w:t>
      </w:r>
      <w:r w:rsidR="00741C4E" w:rsidRPr="003E3722">
        <w:rPr>
          <w:rFonts w:cstheme="minorHAnsi"/>
          <w:bCs/>
          <w:iCs/>
        </w:rPr>
        <w:t>short summary of the issues that have led to this report; any previous decisions or history which are relevant and help members understand the issues.</w:t>
      </w:r>
    </w:p>
    <w:p w14:paraId="74A534B0" w14:textId="77777777" w:rsidR="000179AF" w:rsidRPr="00D4431F" w:rsidRDefault="00AB3851" w:rsidP="00CF42B2">
      <w:pPr>
        <w:spacing w:after="0" w:line="240" w:lineRule="auto"/>
        <w:ind w:left="720"/>
        <w:jc w:val="both"/>
        <w:rPr>
          <w:rFonts w:cstheme="minorHAnsi"/>
          <w:bCs/>
          <w:i/>
        </w:rPr>
      </w:pPr>
    </w:p>
    <w:p w14:paraId="74A534B3" w14:textId="77777777" w:rsidR="00284E95" w:rsidRPr="00DC2C4B" w:rsidRDefault="00741C4E" w:rsidP="00284E95">
      <w:pPr>
        <w:pStyle w:val="Heading2"/>
        <w:rPr>
          <w:rFonts w:asciiTheme="majorHAnsi" w:hAnsiTheme="majorHAnsi" w:cstheme="majorHAnsi"/>
          <w:sz w:val="22"/>
          <w:szCs w:val="22"/>
        </w:rPr>
      </w:pPr>
      <w:r w:rsidRPr="00DC2C4B">
        <w:rPr>
          <w:rFonts w:asciiTheme="majorHAnsi" w:hAnsiTheme="majorHAnsi" w:cstheme="majorHAnsi"/>
          <w:sz w:val="22"/>
          <w:szCs w:val="22"/>
        </w:rPr>
        <w:t>Climate change and air quality</w:t>
      </w:r>
    </w:p>
    <w:p w14:paraId="74A534BA" w14:textId="709DD0F1" w:rsidR="004758E2" w:rsidRPr="00DC2C4B" w:rsidRDefault="00DC2C4B"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DC2C4B">
        <w:rPr>
          <w:rFonts w:cs="Arial"/>
          <w:bCs/>
        </w:rPr>
        <w:t>The report outlines the council’s commitment to climate change and references the successful bid of £5m secured for decarbonisation of the council’s buildings</w:t>
      </w:r>
    </w:p>
    <w:p w14:paraId="74A534BB" w14:textId="77777777" w:rsidR="00284E95" w:rsidRPr="004758E2" w:rsidRDefault="00AB3851" w:rsidP="004758E2">
      <w:pPr>
        <w:tabs>
          <w:tab w:val="left" w:pos="567"/>
        </w:tabs>
        <w:spacing w:line="240" w:lineRule="auto"/>
        <w:ind w:right="-284"/>
        <w:rPr>
          <w:rFonts w:ascii="Arial" w:eastAsia="Times New Roman" w:hAnsi="Arial" w:cs="Arial"/>
          <w:lang w:eastAsia="en-GB"/>
        </w:rPr>
      </w:pPr>
    </w:p>
    <w:p w14:paraId="74A534BC" w14:textId="77777777" w:rsidR="000179AF" w:rsidRPr="00ED4FF1" w:rsidRDefault="00741C4E"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4A534BD" w14:textId="5FEB9D4B" w:rsidR="000179AF" w:rsidRDefault="00DC2C4B" w:rsidP="00CF42B2">
      <w:pPr>
        <w:numPr>
          <w:ilvl w:val="0"/>
          <w:numId w:val="8"/>
        </w:numPr>
        <w:spacing w:after="0" w:line="240" w:lineRule="auto"/>
        <w:jc w:val="both"/>
        <w:rPr>
          <w:rFonts w:cstheme="minorHAnsi"/>
          <w:bCs/>
          <w:iCs/>
        </w:rPr>
      </w:pPr>
      <w:r>
        <w:rPr>
          <w:rFonts w:cs="Arial"/>
          <w:bCs/>
          <w:szCs w:val="24"/>
        </w:rPr>
        <w:t xml:space="preserve">Consultation has been undertaken regarding this budget with the Integrated Impact Assessment </w:t>
      </w:r>
      <w:r w:rsidRPr="00F72434">
        <w:rPr>
          <w:rFonts w:cs="Arial"/>
          <w:bCs/>
          <w:szCs w:val="24"/>
        </w:rPr>
        <w:t xml:space="preserve">reported at </w:t>
      </w:r>
      <w:r w:rsidRPr="00F72434">
        <w:rPr>
          <w:rFonts w:cs="Arial"/>
          <w:b/>
          <w:szCs w:val="24"/>
        </w:rPr>
        <w:t>Appendix K</w:t>
      </w:r>
      <w:r w:rsidRPr="00F72434">
        <w:rPr>
          <w:rFonts w:cs="Arial"/>
          <w:bCs/>
          <w:szCs w:val="24"/>
        </w:rPr>
        <w:t xml:space="preserve"> to this report</w:t>
      </w:r>
      <w:r w:rsidRPr="00CA0113">
        <w:rPr>
          <w:rFonts w:cs="Arial"/>
          <w:bCs/>
          <w:szCs w:val="24"/>
        </w:rPr>
        <w:t>.</w:t>
      </w:r>
      <w:r w:rsidR="00741C4E" w:rsidRPr="00883AC9">
        <w:rPr>
          <w:rFonts w:cstheme="minorHAnsi"/>
          <w:bCs/>
          <w:iCs/>
        </w:rPr>
        <w:t xml:space="preserve"> </w:t>
      </w:r>
    </w:p>
    <w:p w14:paraId="74A534BE" w14:textId="77777777" w:rsidR="004758E2" w:rsidRDefault="00741C4E"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1CEBE595" w14:textId="466452C9" w:rsidR="008F4AE7" w:rsidRPr="008F4AE7" w:rsidRDefault="008F4AE7" w:rsidP="004758E2">
      <w:pPr>
        <w:pStyle w:val="Heading2"/>
        <w:numPr>
          <w:ilvl w:val="0"/>
          <w:numId w:val="8"/>
        </w:numPr>
        <w:rPr>
          <w:rFonts w:asciiTheme="majorHAnsi" w:hAnsiTheme="majorHAnsi" w:cstheme="majorHAnsi"/>
          <w:b w:val="0"/>
          <w:sz w:val="22"/>
          <w:szCs w:val="22"/>
        </w:rPr>
      </w:pPr>
      <w:r>
        <w:rPr>
          <w:rFonts w:asciiTheme="majorHAnsi" w:hAnsiTheme="majorHAnsi" w:cstheme="majorHAnsi"/>
          <w:b w:val="0"/>
          <w:bCs w:val="0"/>
          <w:sz w:val="22"/>
          <w:szCs w:val="22"/>
        </w:rPr>
        <w:t xml:space="preserve">There </w:t>
      </w:r>
      <w:r w:rsidRPr="008F4AE7">
        <w:rPr>
          <w:rFonts w:asciiTheme="majorHAnsi" w:hAnsiTheme="majorHAnsi" w:cstheme="majorHAnsi"/>
          <w:b w:val="0"/>
          <w:sz w:val="22"/>
          <w:szCs w:val="22"/>
        </w:rPr>
        <w:t>are no immediate risks associated with this report however not approving the final budget report risks the council being unable to finance its future commitments to its corporate priorities</w:t>
      </w:r>
    </w:p>
    <w:p w14:paraId="74A534C0" w14:textId="77777777" w:rsidR="000179AF" w:rsidRPr="00ED4FF1" w:rsidRDefault="00741C4E"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C78E375" w14:textId="151E923E" w:rsidR="008F4AE7" w:rsidRPr="008F4AE7" w:rsidRDefault="008F4AE7" w:rsidP="00DC2C4B">
      <w:pPr>
        <w:pStyle w:val="BlockText"/>
        <w:numPr>
          <w:ilvl w:val="0"/>
          <w:numId w:val="8"/>
        </w:numPr>
        <w:tabs>
          <w:tab w:val="clear" w:pos="709"/>
        </w:tabs>
        <w:rPr>
          <w:rFonts w:cs="Arial"/>
          <w:szCs w:val="24"/>
        </w:rPr>
      </w:pPr>
      <w:r w:rsidRPr="008F4AE7">
        <w:rPr>
          <w:rFonts w:cs="Arial"/>
          <w:szCs w:val="24"/>
        </w:rPr>
        <w:t>The financial implications of the 2022/23 Budget are all contained within the report above but to clarify, all proposals are funded and can be accommodated; it should be noted however that the report does contain several assumptions on some future budget elements and on the final out-turn position for 2021/22. Should any of the assumptions or figures change due to unforeseen circumstances arising before 31st March 2022, the financial position will be reviewed and reported.</w:t>
      </w:r>
    </w:p>
    <w:p w14:paraId="14BAB408" w14:textId="77777777" w:rsidR="008F4AE7" w:rsidRDefault="008F4AE7" w:rsidP="008F4AE7">
      <w:pPr>
        <w:pStyle w:val="BlockText"/>
        <w:tabs>
          <w:tab w:val="clear" w:pos="709"/>
        </w:tabs>
        <w:ind w:left="567"/>
        <w:rPr>
          <w:rFonts w:cs="Arial"/>
          <w:szCs w:val="24"/>
        </w:rPr>
      </w:pPr>
    </w:p>
    <w:p w14:paraId="5999570B" w14:textId="76B2C605" w:rsidR="008F4AE7" w:rsidRDefault="008F4AE7" w:rsidP="008F4AE7">
      <w:pPr>
        <w:pStyle w:val="BlockText"/>
        <w:numPr>
          <w:ilvl w:val="0"/>
          <w:numId w:val="8"/>
        </w:numPr>
        <w:tabs>
          <w:tab w:val="clear" w:pos="709"/>
        </w:tabs>
        <w:rPr>
          <w:rFonts w:cs="Arial"/>
          <w:szCs w:val="24"/>
        </w:rPr>
      </w:pPr>
      <w:r w:rsidRPr="00F72434">
        <w:rPr>
          <w:rFonts w:cs="Arial"/>
          <w:szCs w:val="24"/>
        </w:rPr>
        <w:t xml:space="preserve">The financial implications for the council over the </w:t>
      </w:r>
      <w:proofErr w:type="gramStart"/>
      <w:r w:rsidRPr="00F72434">
        <w:rPr>
          <w:rFonts w:cs="Arial"/>
          <w:szCs w:val="24"/>
        </w:rPr>
        <w:t>three year</w:t>
      </w:r>
      <w:proofErr w:type="gramEnd"/>
      <w:r w:rsidRPr="00F72434">
        <w:rPr>
          <w:rFonts w:cs="Arial"/>
          <w:szCs w:val="24"/>
        </w:rPr>
        <w:t xml:space="preserve"> period 2022/23 to 2024/25 are detailed in</w:t>
      </w:r>
      <w:r>
        <w:rPr>
          <w:rFonts w:cs="Arial"/>
          <w:szCs w:val="24"/>
        </w:rPr>
        <w:t>;</w:t>
      </w:r>
    </w:p>
    <w:p w14:paraId="6AAD2D6A" w14:textId="77777777" w:rsidR="008F4AE7" w:rsidRPr="00F72434" w:rsidRDefault="008F4AE7" w:rsidP="008F4AE7">
      <w:pPr>
        <w:pStyle w:val="BlockText"/>
        <w:numPr>
          <w:ilvl w:val="0"/>
          <w:numId w:val="16"/>
        </w:numPr>
        <w:tabs>
          <w:tab w:val="clear" w:pos="709"/>
        </w:tabs>
        <w:rPr>
          <w:rFonts w:cs="Arial"/>
          <w:szCs w:val="24"/>
        </w:rPr>
      </w:pPr>
      <w:r w:rsidRPr="00F72434">
        <w:rPr>
          <w:rFonts w:cs="Arial"/>
          <w:i/>
          <w:iCs w:val="0"/>
          <w:szCs w:val="24"/>
        </w:rPr>
        <w:t>Medium Term Financial Strategy 2022/23 to 2024/25</w:t>
      </w:r>
      <w:r w:rsidRPr="00F72434">
        <w:rPr>
          <w:rFonts w:cs="Arial"/>
          <w:szCs w:val="24"/>
        </w:rPr>
        <w:t xml:space="preserve"> at </w:t>
      </w:r>
      <w:r w:rsidRPr="00F72434">
        <w:rPr>
          <w:rFonts w:cs="Arial"/>
          <w:b/>
          <w:bCs w:val="0"/>
          <w:szCs w:val="24"/>
        </w:rPr>
        <w:t>Appendix C</w:t>
      </w:r>
      <w:r>
        <w:rPr>
          <w:rFonts w:cs="Arial"/>
          <w:b/>
          <w:bCs w:val="0"/>
          <w:szCs w:val="24"/>
        </w:rPr>
        <w:t>;</w:t>
      </w:r>
    </w:p>
    <w:p w14:paraId="10B43558" w14:textId="77777777" w:rsidR="008F4AE7" w:rsidRPr="00F72434" w:rsidRDefault="008F4AE7" w:rsidP="008F4AE7">
      <w:pPr>
        <w:pStyle w:val="BlockText"/>
        <w:numPr>
          <w:ilvl w:val="0"/>
          <w:numId w:val="16"/>
        </w:numPr>
        <w:tabs>
          <w:tab w:val="clear" w:pos="709"/>
        </w:tabs>
        <w:rPr>
          <w:rFonts w:cs="Arial"/>
          <w:szCs w:val="24"/>
        </w:rPr>
      </w:pPr>
      <w:r w:rsidRPr="00F72434">
        <w:rPr>
          <w:rFonts w:cs="Arial"/>
          <w:i/>
          <w:iCs w:val="0"/>
          <w:szCs w:val="24"/>
        </w:rPr>
        <w:t>Chief Finance Officer’s Report - robustness of the 2022/23 budget and the adequacy of financial reserves</w:t>
      </w:r>
      <w:r w:rsidRPr="00F72434">
        <w:rPr>
          <w:rFonts w:cs="Arial"/>
          <w:szCs w:val="24"/>
        </w:rPr>
        <w:t xml:space="preserve"> at </w:t>
      </w:r>
      <w:r w:rsidRPr="00F72434">
        <w:rPr>
          <w:rFonts w:cs="Arial"/>
          <w:b/>
          <w:bCs w:val="0"/>
          <w:szCs w:val="24"/>
        </w:rPr>
        <w:t>Appendix B</w:t>
      </w:r>
    </w:p>
    <w:p w14:paraId="6C6F31C8" w14:textId="77777777" w:rsidR="008F4AE7" w:rsidRPr="00F72434" w:rsidRDefault="008F4AE7" w:rsidP="008F4AE7">
      <w:pPr>
        <w:pStyle w:val="BlockText"/>
        <w:numPr>
          <w:ilvl w:val="0"/>
          <w:numId w:val="16"/>
        </w:numPr>
        <w:tabs>
          <w:tab w:val="clear" w:pos="709"/>
        </w:tabs>
        <w:rPr>
          <w:rFonts w:cs="Arial"/>
          <w:szCs w:val="24"/>
        </w:rPr>
      </w:pPr>
      <w:r>
        <w:rPr>
          <w:rFonts w:cs="Arial"/>
          <w:szCs w:val="24"/>
        </w:rPr>
        <w:t>t</w:t>
      </w:r>
      <w:r w:rsidRPr="00F72434">
        <w:rPr>
          <w:rFonts w:cs="Arial"/>
          <w:szCs w:val="24"/>
        </w:rPr>
        <w:t>he risks and opportunities regarding the council’s capital programme are outlined in the</w:t>
      </w:r>
      <w:r w:rsidRPr="00F72434">
        <w:rPr>
          <w:rFonts w:cs="Arial"/>
          <w:i/>
          <w:iCs w:val="0"/>
          <w:szCs w:val="24"/>
        </w:rPr>
        <w:t xml:space="preserve"> Capital Strategy</w:t>
      </w:r>
      <w:r w:rsidRPr="00F72434">
        <w:rPr>
          <w:rFonts w:cs="Arial"/>
          <w:szCs w:val="24"/>
        </w:rPr>
        <w:t xml:space="preserve"> at </w:t>
      </w:r>
      <w:r w:rsidRPr="00F72434">
        <w:rPr>
          <w:rFonts w:cs="Arial"/>
          <w:b/>
          <w:bCs w:val="0"/>
          <w:szCs w:val="24"/>
        </w:rPr>
        <w:t>Appendix G.</w:t>
      </w:r>
    </w:p>
    <w:p w14:paraId="6CAB8E24" w14:textId="40B2728E" w:rsidR="008F4AE7" w:rsidRDefault="008F4AE7" w:rsidP="008F4AE7">
      <w:pPr>
        <w:spacing w:after="0" w:line="240" w:lineRule="auto"/>
        <w:jc w:val="both"/>
        <w:rPr>
          <w:rFonts w:cstheme="minorHAnsi"/>
          <w:bCs/>
          <w:iCs/>
        </w:rPr>
      </w:pPr>
    </w:p>
    <w:p w14:paraId="18E177B9" w14:textId="1CBAA849" w:rsidR="00DC2C4B" w:rsidRDefault="00DC2C4B" w:rsidP="008F4AE7">
      <w:pPr>
        <w:spacing w:after="0" w:line="240" w:lineRule="auto"/>
        <w:jc w:val="both"/>
        <w:rPr>
          <w:rFonts w:cstheme="minorHAnsi"/>
          <w:bCs/>
          <w:iCs/>
        </w:rPr>
      </w:pPr>
    </w:p>
    <w:p w14:paraId="3FD6B536" w14:textId="77777777" w:rsidR="00DC2C4B" w:rsidRPr="00883AC9" w:rsidRDefault="00DC2C4B" w:rsidP="008F4AE7">
      <w:pPr>
        <w:spacing w:after="0" w:line="240" w:lineRule="auto"/>
        <w:jc w:val="both"/>
        <w:rPr>
          <w:rFonts w:cstheme="minorHAnsi"/>
          <w:bCs/>
          <w:iCs/>
        </w:rPr>
      </w:pPr>
    </w:p>
    <w:p w14:paraId="74A534C2" w14:textId="77777777" w:rsidR="000179AF" w:rsidRPr="00D4431F" w:rsidRDefault="00AB3851" w:rsidP="00CF42B2">
      <w:pPr>
        <w:spacing w:after="0" w:line="240" w:lineRule="auto"/>
        <w:ind w:left="720"/>
        <w:jc w:val="both"/>
        <w:rPr>
          <w:rFonts w:cstheme="minorHAnsi"/>
          <w:bCs/>
        </w:rPr>
      </w:pPr>
    </w:p>
    <w:p w14:paraId="74A534C3" w14:textId="77777777" w:rsidR="000179AF" w:rsidRPr="00ED4FF1" w:rsidRDefault="00741C4E"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Monitoring Officer</w:t>
      </w:r>
    </w:p>
    <w:p w14:paraId="72B052A3" w14:textId="77777777" w:rsidR="008F4AE7" w:rsidRPr="00CA0113" w:rsidRDefault="008F4AE7" w:rsidP="008F4AE7">
      <w:pPr>
        <w:pStyle w:val="BlockText"/>
        <w:numPr>
          <w:ilvl w:val="0"/>
          <w:numId w:val="8"/>
        </w:numPr>
        <w:tabs>
          <w:tab w:val="clear" w:pos="709"/>
        </w:tabs>
        <w:rPr>
          <w:rFonts w:cs="Arial"/>
          <w:iCs w:val="0"/>
          <w:szCs w:val="24"/>
        </w:rPr>
      </w:pPr>
      <w:r w:rsidRPr="00CA0113">
        <w:rPr>
          <w:rFonts w:cs="Arial"/>
          <w:szCs w:val="24"/>
        </w:rPr>
        <w:t>The budget proposals are in accordance with the requirements of legislation</w:t>
      </w:r>
    </w:p>
    <w:p w14:paraId="74A534C4" w14:textId="288B7CA9" w:rsidR="000179AF" w:rsidRPr="00883AC9" w:rsidRDefault="00741C4E" w:rsidP="008F4AE7">
      <w:pPr>
        <w:spacing w:after="0" w:line="240" w:lineRule="auto"/>
        <w:ind w:left="360"/>
        <w:jc w:val="both"/>
        <w:rPr>
          <w:rFonts w:cstheme="minorHAnsi"/>
          <w:bCs/>
          <w:iCs/>
        </w:rPr>
      </w:pPr>
      <w:r w:rsidRPr="00883AC9">
        <w:rPr>
          <w:rFonts w:cstheme="minorHAnsi"/>
          <w:bCs/>
          <w:iCs/>
        </w:rPr>
        <w:t xml:space="preserve"> </w:t>
      </w:r>
    </w:p>
    <w:p w14:paraId="74A534C5" w14:textId="77777777" w:rsidR="000179AF" w:rsidRPr="00D1305C" w:rsidRDefault="00AB3851" w:rsidP="000179AF">
      <w:pPr>
        <w:spacing w:after="0" w:line="240" w:lineRule="auto"/>
        <w:ind w:left="720"/>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89"/>
        <w:gridCol w:w="1422"/>
        <w:gridCol w:w="1097"/>
      </w:tblGrid>
      <w:tr w:rsidR="00F60B50" w14:paraId="74A534D1" w14:textId="77777777" w:rsidTr="00DC2C4B">
        <w:tc>
          <w:tcPr>
            <w:tcW w:w="2611" w:type="dxa"/>
            <w:shd w:val="clear" w:color="auto" w:fill="auto"/>
          </w:tcPr>
          <w:p w14:paraId="74A534CD" w14:textId="77777777" w:rsidR="00D4431F" w:rsidRPr="00D4431F" w:rsidRDefault="00741C4E" w:rsidP="00D4431F">
            <w:pPr>
              <w:spacing w:line="240" w:lineRule="auto"/>
              <w:jc w:val="both"/>
              <w:rPr>
                <w:rFonts w:cstheme="minorHAnsi"/>
                <w:bCs/>
              </w:rPr>
            </w:pPr>
            <w:r w:rsidRPr="00D4431F">
              <w:rPr>
                <w:rFonts w:cstheme="minorHAnsi"/>
                <w:bCs/>
              </w:rPr>
              <w:t>Report Author:</w:t>
            </w:r>
          </w:p>
        </w:tc>
        <w:tc>
          <w:tcPr>
            <w:tcW w:w="3876" w:type="dxa"/>
          </w:tcPr>
          <w:p w14:paraId="74A534CE" w14:textId="77777777" w:rsidR="00D4431F" w:rsidRPr="00D4431F" w:rsidRDefault="00741C4E" w:rsidP="00D4431F">
            <w:pPr>
              <w:spacing w:line="240" w:lineRule="auto"/>
              <w:jc w:val="both"/>
              <w:rPr>
                <w:rFonts w:cstheme="minorHAnsi"/>
                <w:bCs/>
              </w:rPr>
            </w:pPr>
            <w:r w:rsidRPr="00D4431F">
              <w:rPr>
                <w:rFonts w:cstheme="minorHAnsi"/>
                <w:bCs/>
              </w:rPr>
              <w:t>Email:</w:t>
            </w:r>
          </w:p>
        </w:tc>
        <w:tc>
          <w:tcPr>
            <w:tcW w:w="1431" w:type="dxa"/>
            <w:shd w:val="clear" w:color="auto" w:fill="auto"/>
          </w:tcPr>
          <w:p w14:paraId="74A534CF" w14:textId="77777777" w:rsidR="00D4431F" w:rsidRPr="00D4431F" w:rsidRDefault="00741C4E" w:rsidP="00D4431F">
            <w:pPr>
              <w:spacing w:line="240" w:lineRule="auto"/>
              <w:jc w:val="both"/>
              <w:rPr>
                <w:rFonts w:cstheme="minorHAnsi"/>
                <w:bCs/>
              </w:rPr>
            </w:pPr>
            <w:r w:rsidRPr="00D4431F">
              <w:rPr>
                <w:rFonts w:cstheme="minorHAnsi"/>
                <w:bCs/>
              </w:rPr>
              <w:t>Telephone:</w:t>
            </w:r>
          </w:p>
        </w:tc>
        <w:tc>
          <w:tcPr>
            <w:tcW w:w="990" w:type="dxa"/>
            <w:shd w:val="clear" w:color="auto" w:fill="auto"/>
          </w:tcPr>
          <w:p w14:paraId="74A534D0" w14:textId="77777777" w:rsidR="00D4431F" w:rsidRPr="00D4431F" w:rsidRDefault="00741C4E" w:rsidP="00D4431F">
            <w:pPr>
              <w:spacing w:line="240" w:lineRule="auto"/>
              <w:jc w:val="both"/>
              <w:rPr>
                <w:rFonts w:cstheme="minorHAnsi"/>
                <w:bCs/>
              </w:rPr>
            </w:pPr>
            <w:r w:rsidRPr="00D4431F">
              <w:rPr>
                <w:rFonts w:cstheme="minorHAnsi"/>
                <w:bCs/>
              </w:rPr>
              <w:t>Date:</w:t>
            </w:r>
          </w:p>
        </w:tc>
      </w:tr>
      <w:tr w:rsidR="00F60B50" w14:paraId="74A534D6" w14:textId="77777777" w:rsidTr="00DC2C4B">
        <w:tc>
          <w:tcPr>
            <w:tcW w:w="2611" w:type="dxa"/>
            <w:shd w:val="clear" w:color="auto" w:fill="auto"/>
          </w:tcPr>
          <w:p w14:paraId="74A534D2" w14:textId="5E1DD88A" w:rsidR="00D4431F" w:rsidRPr="00D4431F" w:rsidRDefault="00DC2C4B" w:rsidP="00D4431F">
            <w:pPr>
              <w:spacing w:line="240" w:lineRule="auto"/>
              <w:jc w:val="both"/>
              <w:rPr>
                <w:rFonts w:cstheme="minorHAnsi"/>
                <w:bCs/>
              </w:rPr>
            </w:pPr>
            <w:r>
              <w:rPr>
                <w:rFonts w:cstheme="minorHAnsi"/>
                <w:bCs/>
              </w:rPr>
              <w:t>Louise Mattinson (Director of Finance)</w:t>
            </w:r>
          </w:p>
        </w:tc>
        <w:tc>
          <w:tcPr>
            <w:tcW w:w="3876" w:type="dxa"/>
          </w:tcPr>
          <w:p w14:paraId="74A534D3" w14:textId="5AD01EBD" w:rsidR="00D4431F" w:rsidRPr="00D4431F" w:rsidRDefault="00DC2C4B" w:rsidP="00D4431F">
            <w:pPr>
              <w:spacing w:line="240" w:lineRule="auto"/>
              <w:jc w:val="both"/>
              <w:rPr>
                <w:rFonts w:cstheme="minorHAnsi"/>
                <w:bCs/>
              </w:rPr>
            </w:pPr>
            <w:r>
              <w:rPr>
                <w:rFonts w:cstheme="minorHAnsi"/>
                <w:bCs/>
              </w:rPr>
              <w:t>Louise.mattinson@southribble.gov.uk</w:t>
            </w:r>
          </w:p>
        </w:tc>
        <w:tc>
          <w:tcPr>
            <w:tcW w:w="1431" w:type="dxa"/>
            <w:shd w:val="clear" w:color="auto" w:fill="auto"/>
          </w:tcPr>
          <w:p w14:paraId="74A534D4" w14:textId="132DAF93" w:rsidR="00D4431F" w:rsidRPr="00D4431F" w:rsidRDefault="00741C4E" w:rsidP="00D4431F">
            <w:pPr>
              <w:spacing w:line="240" w:lineRule="auto"/>
              <w:jc w:val="both"/>
              <w:rPr>
                <w:rFonts w:cstheme="minorHAnsi"/>
                <w:bCs/>
              </w:rPr>
            </w:pPr>
            <w:r w:rsidRPr="00D4431F">
              <w:rPr>
                <w:rFonts w:cstheme="minorHAnsi"/>
                <w:bCs/>
              </w:rPr>
              <w:t>0</w:t>
            </w:r>
            <w:r w:rsidR="00DC2C4B">
              <w:rPr>
                <w:rFonts w:cstheme="minorHAnsi"/>
                <w:bCs/>
              </w:rPr>
              <w:t>1257 515151</w:t>
            </w:r>
          </w:p>
        </w:tc>
        <w:tc>
          <w:tcPr>
            <w:tcW w:w="990" w:type="dxa"/>
            <w:shd w:val="clear" w:color="auto" w:fill="auto"/>
          </w:tcPr>
          <w:p w14:paraId="74A534D5" w14:textId="24496FD8" w:rsidR="00D4431F" w:rsidRPr="00D4431F" w:rsidRDefault="00DC2C4B" w:rsidP="00D4431F">
            <w:pPr>
              <w:spacing w:line="240" w:lineRule="auto"/>
              <w:jc w:val="both"/>
              <w:rPr>
                <w:rFonts w:cstheme="minorHAnsi"/>
                <w:bCs/>
              </w:rPr>
            </w:pPr>
            <w:r>
              <w:rPr>
                <w:rFonts w:cstheme="minorHAnsi"/>
                <w:bCs/>
              </w:rPr>
              <w:t>14 February 2022</w:t>
            </w:r>
          </w:p>
        </w:tc>
      </w:tr>
    </w:tbl>
    <w:p w14:paraId="74A534D7" w14:textId="35EB65DC" w:rsidR="0025620C" w:rsidRDefault="00AB3851">
      <w:pPr>
        <w:rPr>
          <w:rFonts w:cstheme="minorHAnsi"/>
          <w:bCs/>
          <w:color w:val="000000" w:themeColor="text1"/>
          <w:lang w:val="en-US"/>
        </w:rPr>
      </w:pPr>
    </w:p>
    <w:p w14:paraId="22AF8B9B" w14:textId="438B7540" w:rsidR="003C02CA" w:rsidRDefault="003C02CA">
      <w:pPr>
        <w:rPr>
          <w:rFonts w:cstheme="minorHAnsi"/>
          <w:bCs/>
          <w:color w:val="000000" w:themeColor="text1"/>
          <w:lang w:val="en-US"/>
        </w:rPr>
      </w:pPr>
    </w:p>
    <w:p w14:paraId="581DFE14" w14:textId="11A91957" w:rsidR="003C02CA" w:rsidRDefault="003C02CA">
      <w:pPr>
        <w:rPr>
          <w:rFonts w:cstheme="minorHAnsi"/>
          <w:bCs/>
          <w:color w:val="000000" w:themeColor="text1"/>
          <w:lang w:val="en-US"/>
        </w:rPr>
      </w:pPr>
    </w:p>
    <w:p w14:paraId="1F3DCA71" w14:textId="208C0E7F" w:rsidR="003C02CA" w:rsidRDefault="003C02CA">
      <w:pPr>
        <w:rPr>
          <w:rFonts w:cstheme="minorHAnsi"/>
          <w:bCs/>
          <w:color w:val="000000" w:themeColor="text1"/>
          <w:lang w:val="en-US"/>
        </w:rPr>
      </w:pPr>
    </w:p>
    <w:p w14:paraId="3814CF84" w14:textId="1169C955" w:rsidR="003C02CA" w:rsidRDefault="003C02CA">
      <w:pPr>
        <w:rPr>
          <w:rFonts w:cstheme="minorHAnsi"/>
          <w:bCs/>
          <w:color w:val="000000" w:themeColor="text1"/>
          <w:lang w:val="en-US"/>
        </w:rPr>
      </w:pPr>
    </w:p>
    <w:p w14:paraId="225D7535" w14:textId="766635FC" w:rsidR="003C02CA" w:rsidRDefault="003C02CA">
      <w:pPr>
        <w:rPr>
          <w:rFonts w:cstheme="minorHAnsi"/>
          <w:bCs/>
          <w:color w:val="000000" w:themeColor="text1"/>
          <w:lang w:val="en-US"/>
        </w:rPr>
      </w:pPr>
    </w:p>
    <w:p w14:paraId="4A320C8B" w14:textId="7D17FE0B" w:rsidR="003C02CA" w:rsidRDefault="003C02CA">
      <w:pPr>
        <w:rPr>
          <w:rFonts w:cstheme="minorHAnsi"/>
          <w:bCs/>
          <w:color w:val="000000" w:themeColor="text1"/>
          <w:lang w:val="en-US"/>
        </w:rPr>
      </w:pPr>
    </w:p>
    <w:p w14:paraId="1C79EC20" w14:textId="0C64527B" w:rsidR="003C02CA" w:rsidRDefault="003C02CA">
      <w:pPr>
        <w:rPr>
          <w:rFonts w:cstheme="minorHAnsi"/>
          <w:bCs/>
          <w:color w:val="000000" w:themeColor="text1"/>
          <w:lang w:val="en-US"/>
        </w:rPr>
      </w:pPr>
    </w:p>
    <w:p w14:paraId="7FBCFDC4" w14:textId="1060342E" w:rsidR="003C02CA" w:rsidRDefault="003C02CA">
      <w:pPr>
        <w:rPr>
          <w:rFonts w:cstheme="minorHAnsi"/>
          <w:bCs/>
          <w:color w:val="000000" w:themeColor="text1"/>
          <w:lang w:val="en-US"/>
        </w:rPr>
      </w:pPr>
    </w:p>
    <w:p w14:paraId="55BE7272" w14:textId="06395FED" w:rsidR="003C02CA" w:rsidRDefault="003C02CA">
      <w:pPr>
        <w:rPr>
          <w:rFonts w:cstheme="minorHAnsi"/>
          <w:bCs/>
          <w:color w:val="000000" w:themeColor="text1"/>
          <w:lang w:val="en-US"/>
        </w:rPr>
      </w:pPr>
    </w:p>
    <w:p w14:paraId="6221B8C6" w14:textId="42BA6E2E" w:rsidR="003C02CA" w:rsidRDefault="003C02CA">
      <w:pPr>
        <w:rPr>
          <w:rFonts w:cstheme="minorHAnsi"/>
          <w:bCs/>
          <w:color w:val="000000" w:themeColor="text1"/>
          <w:lang w:val="en-US"/>
        </w:rPr>
      </w:pPr>
    </w:p>
    <w:p w14:paraId="0521A3EB" w14:textId="769A339A" w:rsidR="003C02CA" w:rsidRDefault="003C02CA">
      <w:pPr>
        <w:rPr>
          <w:rFonts w:cstheme="minorHAnsi"/>
          <w:bCs/>
          <w:color w:val="000000" w:themeColor="text1"/>
          <w:lang w:val="en-US"/>
        </w:rPr>
      </w:pPr>
    </w:p>
    <w:p w14:paraId="14BA94DB" w14:textId="54ED5D6A" w:rsidR="003C02CA" w:rsidRDefault="003C02CA">
      <w:pPr>
        <w:rPr>
          <w:rFonts w:cstheme="minorHAnsi"/>
          <w:bCs/>
          <w:color w:val="000000" w:themeColor="text1"/>
          <w:lang w:val="en-US"/>
        </w:rPr>
      </w:pPr>
    </w:p>
    <w:p w14:paraId="31258CC4" w14:textId="08960C34" w:rsidR="003C02CA" w:rsidRDefault="003C02CA">
      <w:pPr>
        <w:rPr>
          <w:rFonts w:cstheme="minorHAnsi"/>
          <w:bCs/>
          <w:color w:val="000000" w:themeColor="text1"/>
          <w:lang w:val="en-US"/>
        </w:rPr>
      </w:pPr>
    </w:p>
    <w:p w14:paraId="7F5EE7ED" w14:textId="76F46269" w:rsidR="003C02CA" w:rsidRDefault="003C02CA">
      <w:pPr>
        <w:rPr>
          <w:rFonts w:cstheme="minorHAnsi"/>
          <w:bCs/>
          <w:color w:val="000000" w:themeColor="text1"/>
          <w:lang w:val="en-US"/>
        </w:rPr>
      </w:pPr>
    </w:p>
    <w:p w14:paraId="187044F7" w14:textId="26128416" w:rsidR="003C02CA" w:rsidRDefault="003C02CA">
      <w:pPr>
        <w:rPr>
          <w:rFonts w:cstheme="minorHAnsi"/>
          <w:bCs/>
          <w:color w:val="000000" w:themeColor="text1"/>
          <w:lang w:val="en-US"/>
        </w:rPr>
      </w:pPr>
    </w:p>
    <w:p w14:paraId="2F61F6FE" w14:textId="5C4D2E30" w:rsidR="003C02CA" w:rsidRDefault="003C02CA">
      <w:pPr>
        <w:rPr>
          <w:rFonts w:cstheme="minorHAnsi"/>
          <w:bCs/>
          <w:color w:val="000000" w:themeColor="text1"/>
          <w:lang w:val="en-US"/>
        </w:rPr>
      </w:pPr>
    </w:p>
    <w:p w14:paraId="17F1BEF5" w14:textId="3037767A" w:rsidR="003C02CA" w:rsidRDefault="003C02CA">
      <w:pPr>
        <w:rPr>
          <w:rFonts w:cstheme="minorHAnsi"/>
          <w:bCs/>
          <w:color w:val="000000" w:themeColor="text1"/>
          <w:lang w:val="en-US"/>
        </w:rPr>
      </w:pPr>
    </w:p>
    <w:p w14:paraId="5AC8E602" w14:textId="682CC3B3" w:rsidR="003C02CA" w:rsidRDefault="003C02CA">
      <w:pPr>
        <w:rPr>
          <w:rFonts w:cstheme="minorHAnsi"/>
          <w:bCs/>
          <w:color w:val="000000" w:themeColor="text1"/>
          <w:lang w:val="en-US"/>
        </w:rPr>
      </w:pPr>
    </w:p>
    <w:p w14:paraId="185C963A" w14:textId="32FBEDA3" w:rsidR="003C02CA" w:rsidRDefault="003C02CA">
      <w:pPr>
        <w:rPr>
          <w:rFonts w:cstheme="minorHAnsi"/>
          <w:bCs/>
          <w:color w:val="000000" w:themeColor="text1"/>
          <w:lang w:val="en-US"/>
        </w:rPr>
      </w:pPr>
    </w:p>
    <w:p w14:paraId="05D85365" w14:textId="5704009D" w:rsidR="003C02CA" w:rsidRDefault="003C02CA">
      <w:pPr>
        <w:rPr>
          <w:rFonts w:cstheme="minorHAnsi"/>
          <w:bCs/>
          <w:color w:val="000000" w:themeColor="text1"/>
          <w:lang w:val="en-US"/>
        </w:rPr>
      </w:pPr>
    </w:p>
    <w:p w14:paraId="4F986658" w14:textId="249B199C" w:rsidR="003C02CA" w:rsidRDefault="003C02CA">
      <w:pPr>
        <w:rPr>
          <w:rFonts w:cstheme="minorHAnsi"/>
          <w:bCs/>
          <w:color w:val="000000" w:themeColor="text1"/>
          <w:lang w:val="en-US"/>
        </w:rPr>
      </w:pPr>
    </w:p>
    <w:p w14:paraId="703D36D4" w14:textId="776D56DA" w:rsidR="003C02CA" w:rsidRDefault="003C02CA">
      <w:pPr>
        <w:rPr>
          <w:rFonts w:cstheme="minorHAnsi"/>
          <w:bCs/>
          <w:color w:val="000000" w:themeColor="text1"/>
          <w:lang w:val="en-US"/>
        </w:rPr>
      </w:pPr>
    </w:p>
    <w:p w14:paraId="0E79A89A" w14:textId="77777777" w:rsidR="003C02CA" w:rsidRPr="009E259B"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rPr>
          <w:rFonts w:ascii="Arial" w:hAnsi="Arial" w:cs="Arial"/>
          <w:color w:val="FFFFFF" w:themeColor="background1"/>
          <w:sz w:val="24"/>
          <w:szCs w:val="24"/>
        </w:rPr>
      </w:pPr>
      <w:r w:rsidRPr="009E259B">
        <w:rPr>
          <w:rFonts w:ascii="Arial" w:hAnsi="Arial" w:cs="Arial"/>
          <w:color w:val="FFFFFF" w:themeColor="background1"/>
          <w:sz w:val="24"/>
          <w:szCs w:val="24"/>
        </w:rPr>
        <w:lastRenderedPageBreak/>
        <w:t>BUDGET CONSULTATION RESULTS</w:t>
      </w:r>
    </w:p>
    <w:p w14:paraId="6C45E4FF" w14:textId="77777777" w:rsidR="003C02CA" w:rsidRDefault="003C02CA" w:rsidP="003C02CA">
      <w:pPr>
        <w:numPr>
          <w:ilvl w:val="0"/>
          <w:numId w:val="18"/>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CA0113">
        <w:rPr>
          <w:rFonts w:cs="Arial"/>
        </w:rPr>
        <w:t>Consultation on the 202</w:t>
      </w:r>
      <w:r>
        <w:rPr>
          <w:rFonts w:cs="Arial"/>
        </w:rPr>
        <w:t>2</w:t>
      </w:r>
      <w:r w:rsidRPr="00CA0113">
        <w:rPr>
          <w:rFonts w:cs="Arial"/>
        </w:rPr>
        <w:t>/2</w:t>
      </w:r>
      <w:r>
        <w:rPr>
          <w:rFonts w:cs="Arial"/>
        </w:rPr>
        <w:t>3</w:t>
      </w:r>
      <w:r w:rsidRPr="00CA0113">
        <w:rPr>
          <w:rFonts w:cs="Arial"/>
        </w:rPr>
        <w:t xml:space="preserve"> budget ran from the </w:t>
      </w:r>
      <w:r>
        <w:rPr>
          <w:rFonts w:cs="Arial"/>
        </w:rPr>
        <w:t xml:space="preserve">1 </w:t>
      </w:r>
      <w:r w:rsidRPr="00CA0113">
        <w:rPr>
          <w:rFonts w:cs="Arial"/>
        </w:rPr>
        <w:t xml:space="preserve">February to the </w:t>
      </w:r>
      <w:r>
        <w:rPr>
          <w:rFonts w:cs="Arial"/>
        </w:rPr>
        <w:t xml:space="preserve">10 </w:t>
      </w:r>
      <w:r w:rsidRPr="00CA0113">
        <w:rPr>
          <w:rFonts w:cs="Arial"/>
        </w:rPr>
        <w:t>February 202</w:t>
      </w:r>
      <w:r>
        <w:rPr>
          <w:rFonts w:cs="Arial"/>
        </w:rPr>
        <w:t>2</w:t>
      </w:r>
      <w:r w:rsidRPr="00CA0113">
        <w:rPr>
          <w:rFonts w:cs="Arial"/>
        </w:rPr>
        <w:t xml:space="preserve"> </w:t>
      </w:r>
      <w:r w:rsidRPr="00FA292C">
        <w:rPr>
          <w:rFonts w:cs="Arial"/>
        </w:rPr>
        <w:t xml:space="preserve">and was conducted through an online survey. </w:t>
      </w:r>
    </w:p>
    <w:p w14:paraId="506F0EA9" w14:textId="77777777" w:rsidR="003C02CA" w:rsidRDefault="003C02CA" w:rsidP="003C02CA">
      <w:pPr>
        <w:pBdr>
          <w:top w:val="single" w:sz="2" w:space="0" w:color="FFFFFF"/>
          <w:left w:val="single" w:sz="2" w:space="0" w:color="FFFFFF"/>
          <w:bottom w:val="single" w:sz="2" w:space="2" w:color="FFFFFF"/>
          <w:right w:val="single" w:sz="2" w:space="4" w:color="FFFFFF"/>
        </w:pBdr>
        <w:tabs>
          <w:tab w:val="left" w:pos="567"/>
        </w:tabs>
        <w:spacing w:after="0" w:line="240" w:lineRule="auto"/>
        <w:ind w:left="567" w:right="141"/>
        <w:jc w:val="both"/>
        <w:rPr>
          <w:rFonts w:cs="Arial"/>
        </w:rPr>
      </w:pPr>
    </w:p>
    <w:p w14:paraId="4F924555" w14:textId="77777777" w:rsidR="003C02CA" w:rsidRPr="00F5619D" w:rsidRDefault="003C02CA" w:rsidP="003C02CA">
      <w:pPr>
        <w:numPr>
          <w:ilvl w:val="0"/>
          <w:numId w:val="18"/>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CA0113">
        <w:rPr>
          <w:rFonts w:cs="Arial"/>
        </w:rPr>
        <w:t xml:space="preserve">The </w:t>
      </w:r>
      <w:r w:rsidRPr="0054250F">
        <w:rPr>
          <w:rFonts w:cs="Arial"/>
          <w:szCs w:val="24"/>
        </w:rPr>
        <w:t>consultation was publicised through a structured digital campaign which included eight posts on Facebook which accrued 818 link clicks, 73,588 views, reached 65,018 accounts and had 5676 engagements (likes, comments or shares</w:t>
      </w:r>
      <w:r>
        <w:rPr>
          <w:rFonts w:cs="Arial"/>
          <w:szCs w:val="24"/>
        </w:rPr>
        <w:t>).</w:t>
      </w:r>
    </w:p>
    <w:p w14:paraId="397AA2D9" w14:textId="77777777" w:rsidR="003C02CA" w:rsidRPr="00F5619D" w:rsidRDefault="003C02CA" w:rsidP="003C02CA">
      <w:pPr>
        <w:pBdr>
          <w:top w:val="single" w:sz="2" w:space="0" w:color="FFFFFF"/>
          <w:left w:val="single" w:sz="2" w:space="0" w:color="FFFFFF"/>
          <w:bottom w:val="single" w:sz="2" w:space="2" w:color="FFFFFF"/>
          <w:right w:val="single" w:sz="2" w:space="4" w:color="FFFFFF"/>
        </w:pBdr>
        <w:tabs>
          <w:tab w:val="left" w:pos="567"/>
        </w:tabs>
        <w:spacing w:after="0" w:line="240" w:lineRule="auto"/>
        <w:ind w:left="567" w:right="141"/>
        <w:jc w:val="both"/>
        <w:rPr>
          <w:rFonts w:cs="Arial"/>
        </w:rPr>
      </w:pPr>
    </w:p>
    <w:p w14:paraId="30C637EC" w14:textId="77777777" w:rsidR="003C02CA" w:rsidRDefault="003C02CA" w:rsidP="003C02CA">
      <w:pPr>
        <w:numPr>
          <w:ilvl w:val="0"/>
          <w:numId w:val="18"/>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Pr>
          <w:rFonts w:cs="Arial"/>
        </w:rPr>
        <w:t>There were 220 responses received via the online survey, with 109 participants providing qualitative feedback through one open-ended question. Response levels have increased, compared to last year’s budget consultation survey, in which we received 105 responses.</w:t>
      </w:r>
    </w:p>
    <w:p w14:paraId="3F5C3173" w14:textId="77777777" w:rsidR="003C02CA" w:rsidRDefault="003C02CA" w:rsidP="003C02CA">
      <w:pPr>
        <w:pStyle w:val="ListParagraph"/>
        <w:rPr>
          <w:rFonts w:cs="Arial"/>
        </w:rPr>
      </w:pPr>
    </w:p>
    <w:p w14:paraId="4EE1E503" w14:textId="77777777" w:rsidR="003C02CA" w:rsidRPr="00DE0344"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DE0344">
        <w:t>Participants</w:t>
      </w:r>
      <w:r w:rsidRPr="00DE0344">
        <w:rPr>
          <w:rFonts w:cs="Arial"/>
        </w:rPr>
        <w:t xml:space="preserve"> were asked to rank on a scale of one (‘low priority’) to five (‘high priority’) what should be prioritised when allocating funding; the results are presented in detail at </w:t>
      </w:r>
      <w:r w:rsidRPr="00DE0344">
        <w:rPr>
          <w:rFonts w:cs="Arial"/>
          <w:b/>
          <w:bCs/>
        </w:rPr>
        <w:t>Appendix J</w:t>
      </w:r>
      <w:r>
        <w:rPr>
          <w:rFonts w:cs="Arial"/>
          <w:b/>
          <w:bCs/>
        </w:rPr>
        <w:t>.</w:t>
      </w:r>
      <w:r w:rsidRPr="00DE0344">
        <w:rPr>
          <w:rFonts w:cs="Arial"/>
        </w:rPr>
        <w:t xml:space="preserve"> </w:t>
      </w:r>
    </w:p>
    <w:p w14:paraId="4B1B94EE" w14:textId="77777777" w:rsidR="003C02CA" w:rsidRDefault="003C02CA" w:rsidP="003C02CA">
      <w:pPr>
        <w:pStyle w:val="ListParagraph"/>
        <w:rPr>
          <w:rFonts w:cs="Arial"/>
        </w:rPr>
      </w:pPr>
    </w:p>
    <w:p w14:paraId="7C2D5D6D" w14:textId="77777777" w:rsidR="003C02CA" w:rsidRPr="00DE0344" w:rsidRDefault="003C02CA" w:rsidP="003C02CA">
      <w:pPr>
        <w:numPr>
          <w:ilvl w:val="0"/>
          <w:numId w:val="11"/>
        </w:numPr>
        <w:pBdr>
          <w:top w:val="single" w:sz="2" w:space="1" w:color="FFFFFF"/>
          <w:left w:val="single" w:sz="2" w:space="0" w:color="FFFFFF"/>
          <w:bottom w:val="single" w:sz="2" w:space="0" w:color="FFFFFF"/>
          <w:right w:val="single" w:sz="2" w:space="4" w:color="FFFFFF"/>
        </w:pBdr>
        <w:spacing w:after="0" w:line="240" w:lineRule="auto"/>
        <w:ind w:right="141"/>
        <w:rPr>
          <w:rFonts w:cs="Arial"/>
          <w:color w:val="00B050"/>
          <w:szCs w:val="24"/>
        </w:rPr>
      </w:pPr>
      <w:r>
        <w:rPr>
          <w:rFonts w:cs="Arial"/>
          <w:szCs w:val="24"/>
        </w:rPr>
        <w:t xml:space="preserve">Part 2 of the consultation </w:t>
      </w:r>
      <w:r w:rsidRPr="00DE0344">
        <w:rPr>
          <w:rFonts w:cs="Arial"/>
          <w:szCs w:val="24"/>
        </w:rPr>
        <w:t>asked whether the</w:t>
      </w:r>
      <w:r>
        <w:rPr>
          <w:rFonts w:cs="Arial"/>
          <w:szCs w:val="24"/>
        </w:rPr>
        <w:t xml:space="preserve"> respondent </w:t>
      </w:r>
      <w:r w:rsidRPr="00DE0344">
        <w:rPr>
          <w:rFonts w:cs="Arial"/>
          <w:szCs w:val="24"/>
        </w:rPr>
        <w:t>agree</w:t>
      </w:r>
      <w:r>
        <w:rPr>
          <w:rFonts w:cs="Arial"/>
          <w:szCs w:val="24"/>
        </w:rPr>
        <w:t>d</w:t>
      </w:r>
      <w:r w:rsidRPr="00DE0344">
        <w:rPr>
          <w:rFonts w:cs="Arial"/>
          <w:szCs w:val="24"/>
        </w:rPr>
        <w:t xml:space="preserve"> with a Council Tax increase in line with inflation. The results showed a marginal disagreement. Open responses reflected the results of this, with residents’ concerns primarily being the current economic climate and the impact of what an increase would have in this climate.</w:t>
      </w:r>
    </w:p>
    <w:p w14:paraId="73661F2C" w14:textId="77777777" w:rsidR="003C02CA" w:rsidRPr="00DE0344" w:rsidRDefault="003C02CA" w:rsidP="003C02CA">
      <w:pPr>
        <w:pBdr>
          <w:top w:val="single" w:sz="2" w:space="1" w:color="FFFFFF"/>
          <w:left w:val="single" w:sz="2" w:space="0" w:color="FFFFFF"/>
          <w:bottom w:val="single" w:sz="2" w:space="0" w:color="FFFFFF"/>
          <w:right w:val="single" w:sz="2" w:space="4" w:color="FFFFFF"/>
        </w:pBdr>
        <w:ind w:left="567" w:right="141"/>
        <w:rPr>
          <w:rFonts w:cs="Arial"/>
          <w:color w:val="00B050"/>
          <w:szCs w:val="24"/>
        </w:rPr>
      </w:pPr>
    </w:p>
    <w:tbl>
      <w:tblPr>
        <w:tblStyle w:val="TableGrid"/>
        <w:tblW w:w="0" w:type="auto"/>
        <w:tblInd w:w="2935" w:type="dxa"/>
        <w:tblLook w:val="04A0" w:firstRow="1" w:lastRow="0" w:firstColumn="1" w:lastColumn="0" w:noHBand="0" w:noVBand="1"/>
      </w:tblPr>
      <w:tblGrid>
        <w:gridCol w:w="1877"/>
        <w:gridCol w:w="1879"/>
      </w:tblGrid>
      <w:tr w:rsidR="003C02CA" w:rsidRPr="00DE0344" w14:paraId="6EB36E7C" w14:textId="77777777" w:rsidTr="002F7BAE">
        <w:trPr>
          <w:trHeight w:val="303"/>
        </w:trPr>
        <w:tc>
          <w:tcPr>
            <w:tcW w:w="1877" w:type="dxa"/>
          </w:tcPr>
          <w:p w14:paraId="2FC6CF80" w14:textId="77777777" w:rsidR="003C02CA" w:rsidRPr="00DE0344" w:rsidRDefault="003C02CA" w:rsidP="002F7BAE">
            <w:pPr>
              <w:ind w:right="141"/>
              <w:rPr>
                <w:rFonts w:cs="Arial"/>
                <w:b/>
                <w:bCs/>
                <w:szCs w:val="24"/>
              </w:rPr>
            </w:pPr>
            <w:r w:rsidRPr="00DE0344">
              <w:rPr>
                <w:rFonts w:cs="Arial"/>
                <w:b/>
                <w:bCs/>
                <w:szCs w:val="24"/>
              </w:rPr>
              <w:t>Response</w:t>
            </w:r>
          </w:p>
        </w:tc>
        <w:tc>
          <w:tcPr>
            <w:tcW w:w="1879" w:type="dxa"/>
          </w:tcPr>
          <w:p w14:paraId="7913265B" w14:textId="77777777" w:rsidR="003C02CA" w:rsidRPr="00DE0344" w:rsidRDefault="003C02CA" w:rsidP="002F7BAE">
            <w:pPr>
              <w:ind w:right="141"/>
              <w:rPr>
                <w:rFonts w:cs="Arial"/>
                <w:b/>
                <w:bCs/>
                <w:szCs w:val="24"/>
              </w:rPr>
            </w:pPr>
            <w:r w:rsidRPr="00DE0344">
              <w:rPr>
                <w:rFonts w:cs="Arial"/>
                <w:b/>
                <w:bCs/>
                <w:szCs w:val="24"/>
              </w:rPr>
              <w:t>%</w:t>
            </w:r>
          </w:p>
        </w:tc>
      </w:tr>
      <w:tr w:rsidR="003C02CA" w14:paraId="10EBE623" w14:textId="77777777" w:rsidTr="002F7BAE">
        <w:trPr>
          <w:trHeight w:val="303"/>
        </w:trPr>
        <w:tc>
          <w:tcPr>
            <w:tcW w:w="1877" w:type="dxa"/>
          </w:tcPr>
          <w:p w14:paraId="74A28DF2" w14:textId="77777777" w:rsidR="003C02CA" w:rsidRPr="00DE0344" w:rsidRDefault="003C02CA" w:rsidP="002F7BAE">
            <w:pPr>
              <w:ind w:right="141"/>
              <w:rPr>
                <w:rFonts w:cs="Arial"/>
                <w:szCs w:val="24"/>
              </w:rPr>
            </w:pPr>
            <w:r w:rsidRPr="00DE0344">
              <w:rPr>
                <w:rFonts w:cs="Arial"/>
                <w:szCs w:val="24"/>
              </w:rPr>
              <w:t>Agree</w:t>
            </w:r>
          </w:p>
        </w:tc>
        <w:tc>
          <w:tcPr>
            <w:tcW w:w="1879" w:type="dxa"/>
          </w:tcPr>
          <w:p w14:paraId="1B2C6358" w14:textId="77777777" w:rsidR="003C02CA" w:rsidRPr="008D5392" w:rsidRDefault="003C02CA" w:rsidP="002F7BAE">
            <w:pPr>
              <w:ind w:right="141"/>
              <w:rPr>
                <w:rFonts w:cs="Arial"/>
                <w:szCs w:val="24"/>
              </w:rPr>
            </w:pPr>
            <w:r w:rsidRPr="00DE0344">
              <w:rPr>
                <w:rFonts w:cs="Arial"/>
                <w:szCs w:val="24"/>
              </w:rPr>
              <w:t>46.7%</w:t>
            </w:r>
          </w:p>
        </w:tc>
      </w:tr>
      <w:tr w:rsidR="003C02CA" w14:paraId="53E86F75" w14:textId="77777777" w:rsidTr="002F7BAE">
        <w:trPr>
          <w:trHeight w:val="303"/>
        </w:trPr>
        <w:tc>
          <w:tcPr>
            <w:tcW w:w="1877" w:type="dxa"/>
          </w:tcPr>
          <w:p w14:paraId="44E884E9" w14:textId="77777777" w:rsidR="003C02CA" w:rsidRPr="008D5392" w:rsidRDefault="003C02CA" w:rsidP="002F7BAE">
            <w:pPr>
              <w:ind w:right="141"/>
              <w:rPr>
                <w:rFonts w:cs="Arial"/>
                <w:szCs w:val="24"/>
              </w:rPr>
            </w:pPr>
            <w:r>
              <w:rPr>
                <w:rFonts w:cs="Arial"/>
                <w:szCs w:val="24"/>
              </w:rPr>
              <w:t>Disagree</w:t>
            </w:r>
          </w:p>
        </w:tc>
        <w:tc>
          <w:tcPr>
            <w:tcW w:w="1879" w:type="dxa"/>
          </w:tcPr>
          <w:p w14:paraId="273FC154" w14:textId="77777777" w:rsidR="003C02CA" w:rsidRPr="008D5392" w:rsidRDefault="003C02CA" w:rsidP="002F7BAE">
            <w:pPr>
              <w:ind w:right="141"/>
              <w:rPr>
                <w:rFonts w:cs="Arial"/>
                <w:szCs w:val="24"/>
              </w:rPr>
            </w:pPr>
            <w:r>
              <w:rPr>
                <w:rFonts w:cs="Arial"/>
                <w:szCs w:val="24"/>
              </w:rPr>
              <w:t>53.2%</w:t>
            </w:r>
          </w:p>
        </w:tc>
      </w:tr>
    </w:tbl>
    <w:p w14:paraId="1708C156" w14:textId="77777777" w:rsidR="003C02CA" w:rsidRDefault="003C02CA" w:rsidP="003C02CA">
      <w:pPr>
        <w:rPr>
          <w:rFonts w:ascii="Arial" w:eastAsia="Times New Roman" w:hAnsi="Arial" w:cs="Arial"/>
          <w:b/>
          <w:bCs/>
          <w:color w:val="147FA8"/>
          <w:kern w:val="36"/>
          <w:sz w:val="24"/>
          <w:szCs w:val="24"/>
          <w:lang w:eastAsia="en-GB"/>
        </w:rPr>
      </w:pPr>
    </w:p>
    <w:p w14:paraId="45EDADF3" w14:textId="77777777" w:rsidR="003C02CA" w:rsidRPr="009E259B"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rPr>
          <w:rFonts w:ascii="Arial" w:hAnsi="Arial" w:cs="Arial"/>
          <w:color w:val="FFFFFF" w:themeColor="background1"/>
          <w:sz w:val="24"/>
          <w:szCs w:val="24"/>
        </w:rPr>
      </w:pPr>
      <w:r w:rsidRPr="009E259B">
        <w:rPr>
          <w:rFonts w:ascii="Arial" w:hAnsi="Arial" w:cs="Arial"/>
          <w:color w:val="FFFFFF" w:themeColor="background1"/>
          <w:sz w:val="24"/>
          <w:szCs w:val="24"/>
        </w:rPr>
        <w:t>2022/23 BUDGET – FUNDING SOURCES</w:t>
      </w:r>
    </w:p>
    <w:p w14:paraId="4A371579" w14:textId="77777777" w:rsidR="003C02CA" w:rsidRPr="001D79D8" w:rsidRDefault="003C02CA" w:rsidP="003C02CA">
      <w:pPr>
        <w:pStyle w:val="Heading3"/>
        <w:spacing w:before="0"/>
        <w:rPr>
          <w:b/>
          <w:bCs/>
          <w:i/>
          <w:iCs/>
          <w:color w:val="147FA8"/>
          <w:sz w:val="22"/>
          <w:szCs w:val="22"/>
        </w:rPr>
      </w:pPr>
      <w:r w:rsidRPr="001D79D8">
        <w:rPr>
          <w:b/>
          <w:bCs/>
          <w:i/>
          <w:iCs/>
          <w:color w:val="147FA8"/>
          <w:sz w:val="22"/>
          <w:szCs w:val="22"/>
        </w:rPr>
        <w:t>Spending Review 2021 and Final Local Government Finance Settlement</w:t>
      </w:r>
    </w:p>
    <w:p w14:paraId="3E3FA6C3" w14:textId="77777777" w:rsidR="003C02CA" w:rsidRPr="001D79D8"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rPr>
      </w:pPr>
      <w:r>
        <w:t xml:space="preserve">Uncertainty </w:t>
      </w:r>
      <w:r w:rsidRPr="00F17AC7">
        <w:t xml:space="preserve">continues regarding the council’s </w:t>
      </w:r>
      <w:r>
        <w:t xml:space="preserve">future </w:t>
      </w:r>
      <w:r w:rsidRPr="00F17AC7">
        <w:t>funding streams</w:t>
      </w:r>
      <w:r>
        <w:t>,</w:t>
      </w:r>
      <w:r w:rsidRPr="00F17AC7">
        <w:t xml:space="preserve"> with the </w:t>
      </w:r>
      <w:r>
        <w:t>g</w:t>
      </w:r>
      <w:r w:rsidRPr="00F17AC7">
        <w:t xml:space="preserve">overnment announcing a further one-year financial settlement for 2022/23 rather than the expected multi-year settlement. </w:t>
      </w:r>
      <w:r>
        <w:t xml:space="preserve">The figures included in the 2022/23 </w:t>
      </w:r>
      <w:r w:rsidRPr="0046583F">
        <w:t xml:space="preserve">Budget have been made based on the Final Local Government Finance Settlement that was </w:t>
      </w:r>
      <w:r>
        <w:t xml:space="preserve">published </w:t>
      </w:r>
      <w:r w:rsidRPr="0046583F">
        <w:t xml:space="preserve">on </w:t>
      </w:r>
      <w:r>
        <w:t>7</w:t>
      </w:r>
      <w:r w:rsidRPr="0046583F">
        <w:t xml:space="preserve"> February </w:t>
      </w:r>
      <w:r>
        <w:t>2022.</w:t>
      </w:r>
    </w:p>
    <w:p w14:paraId="2AED5E95" w14:textId="77777777" w:rsidR="003C02CA" w:rsidRPr="001D79D8"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strike/>
          <w:sz w:val="20"/>
          <w:highlight w:val="yellow"/>
        </w:rPr>
      </w:pPr>
    </w:p>
    <w:p w14:paraId="6F524880" w14:textId="77777777" w:rsidR="003C02CA" w:rsidRPr="001D79D8" w:rsidRDefault="003C02CA" w:rsidP="003C02CA">
      <w:pPr>
        <w:pStyle w:val="Heading3"/>
        <w:spacing w:before="0"/>
        <w:rPr>
          <w:b/>
          <w:bCs/>
          <w:i/>
          <w:iCs/>
          <w:color w:val="147FA8"/>
          <w:sz w:val="22"/>
          <w:szCs w:val="22"/>
        </w:rPr>
      </w:pPr>
      <w:r w:rsidRPr="001D79D8">
        <w:rPr>
          <w:b/>
          <w:bCs/>
          <w:i/>
          <w:iCs/>
          <w:color w:val="147FA8"/>
          <w:sz w:val="22"/>
          <w:szCs w:val="22"/>
        </w:rPr>
        <w:t>Business Rates</w:t>
      </w:r>
    </w:p>
    <w:p w14:paraId="42B4568D" w14:textId="77777777" w:rsidR="003C02CA"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CA0113">
        <w:t xml:space="preserve">The </w:t>
      </w:r>
      <w:r>
        <w:t xml:space="preserve">2022/23 budget assumes that the Lancashire Business Rates Pool will </w:t>
      </w:r>
      <w:proofErr w:type="gramStart"/>
      <w:r>
        <w:t>continue</w:t>
      </w:r>
      <w:proofErr w:type="gramEnd"/>
      <w:r>
        <w:t xml:space="preserve"> and the council will remain a member; South </w:t>
      </w:r>
      <w:proofErr w:type="spellStart"/>
      <w:r>
        <w:t>Ribble</w:t>
      </w:r>
      <w:proofErr w:type="spellEnd"/>
      <w:r>
        <w:t xml:space="preserve"> Council benefits from additional business rates income of </w:t>
      </w:r>
      <w:r w:rsidRPr="00D0073C">
        <w:t>approximately £1.396m as a result of</w:t>
      </w:r>
      <w:r>
        <w:t xml:space="preserve"> being in the pool. In the absence of any further information regarding Business Rates Retention reform, the pool is assumed to continue throughout the period of the MTFS.</w:t>
      </w:r>
    </w:p>
    <w:p w14:paraId="1B694966"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ind w:right="141"/>
      </w:pPr>
    </w:p>
    <w:p w14:paraId="3131904B" w14:textId="77777777" w:rsidR="003C02CA"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CA0113">
        <w:t xml:space="preserve">Forecasting </w:t>
      </w:r>
      <w:r>
        <w:t xml:space="preserve">the </w:t>
      </w:r>
      <w:r w:rsidRPr="00704748">
        <w:t xml:space="preserve">level of business rates </w:t>
      </w:r>
      <w:r>
        <w:t xml:space="preserve">income </w:t>
      </w:r>
      <w:r w:rsidRPr="00704748">
        <w:t xml:space="preserve">beyond 2022/23 remains complicated due to </w:t>
      </w:r>
      <w:r>
        <w:t xml:space="preserve">the level of </w:t>
      </w:r>
      <w:r w:rsidRPr="00704748">
        <w:t>uncertainty</w:t>
      </w:r>
      <w:r>
        <w:t xml:space="preserve"> in this area.</w:t>
      </w:r>
      <w:r w:rsidRPr="00704748">
        <w:t xml:space="preserve"> </w:t>
      </w:r>
      <w:r>
        <w:t xml:space="preserve">Following various government </w:t>
      </w:r>
      <w:r>
        <w:lastRenderedPageBreak/>
        <w:t>announcements, councils have been expecting reforms to the business rates system for over four years. I</w:t>
      </w:r>
      <w:r w:rsidRPr="00186F71">
        <w:t xml:space="preserve">n March 2020, the government published the Terms of Reference for the Business Rates Review, setting out </w:t>
      </w:r>
      <w:r>
        <w:t xml:space="preserve">that </w:t>
      </w:r>
      <w:r w:rsidRPr="00186F71">
        <w:t xml:space="preserve">the objectives </w:t>
      </w:r>
      <w:r>
        <w:t xml:space="preserve">of this were to </w:t>
      </w:r>
      <w:r w:rsidRPr="00186F71">
        <w:t>reduc</w:t>
      </w:r>
      <w:r>
        <w:t>e</w:t>
      </w:r>
      <w:r w:rsidRPr="00186F71">
        <w:t xml:space="preserve"> the overall burden on business</w:t>
      </w:r>
      <w:r>
        <w:t>, to</w:t>
      </w:r>
      <w:r w:rsidRPr="00186F71">
        <w:t xml:space="preserve"> improv</w:t>
      </w:r>
      <w:r>
        <w:t>e</w:t>
      </w:r>
      <w:r w:rsidRPr="00186F71">
        <w:t xml:space="preserve"> the current </w:t>
      </w:r>
      <w:r w:rsidRPr="00987561">
        <w:t>business rates system and to consider more fundamental changes in the medium-to-long term. In March 2021, the government published the Interim Report of the review</w:t>
      </w:r>
      <w:r>
        <w:t>, with the final report issued in October 2021.</w:t>
      </w:r>
    </w:p>
    <w:p w14:paraId="5579569A" w14:textId="77777777" w:rsidR="003C02CA"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2AFC251E" w14:textId="77777777" w:rsidR="003C02CA" w:rsidRPr="00B413E2"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The </w:t>
      </w:r>
      <w:r w:rsidRPr="00B413E2">
        <w:t xml:space="preserve">government </w:t>
      </w:r>
      <w:r>
        <w:t xml:space="preserve">has </w:t>
      </w:r>
      <w:r w:rsidRPr="00B413E2">
        <w:t>concluded from the</w:t>
      </w:r>
      <w:r>
        <w:t>ir</w:t>
      </w:r>
      <w:r w:rsidRPr="00B413E2">
        <w:t xml:space="preserve"> </w:t>
      </w:r>
      <w:r>
        <w:t>review</w:t>
      </w:r>
      <w:r w:rsidRPr="00B413E2">
        <w:t>;</w:t>
      </w:r>
    </w:p>
    <w:p w14:paraId="2628BB34" w14:textId="77777777" w:rsidR="003C02CA" w:rsidRPr="00B413E2" w:rsidRDefault="003C02CA" w:rsidP="003C02CA">
      <w:pPr>
        <w:numPr>
          <w:ilvl w:val="0"/>
          <w:numId w:val="19"/>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t xml:space="preserve">that </w:t>
      </w:r>
      <w:r w:rsidRPr="00B413E2">
        <w:t>business rates are a vital component of the business tax mix</w:t>
      </w:r>
      <w:r>
        <w:t>;</w:t>
      </w:r>
    </w:p>
    <w:p w14:paraId="03A2826D" w14:textId="77777777" w:rsidR="003C02CA" w:rsidRPr="00B413E2" w:rsidRDefault="003C02CA" w:rsidP="003C02CA">
      <w:pPr>
        <w:numPr>
          <w:ilvl w:val="0"/>
          <w:numId w:val="19"/>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B413E2">
        <w:t>that they wish to preserve the benefits of business rates but will make changes to make the</w:t>
      </w:r>
      <w:r>
        <w:t>ir</w:t>
      </w:r>
      <w:r w:rsidRPr="00B413E2">
        <w:t xml:space="preserve"> operation fairer and more effective for businesses</w:t>
      </w:r>
      <w:r>
        <w:t>;</w:t>
      </w:r>
    </w:p>
    <w:p w14:paraId="0C723C7C" w14:textId="77777777" w:rsidR="003C02CA" w:rsidRDefault="003C02CA" w:rsidP="003C02CA">
      <w:pPr>
        <w:numPr>
          <w:ilvl w:val="0"/>
          <w:numId w:val="19"/>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B413E2">
        <w:t>that they are not proposing changing the nature of the tax, or the basis of valuation</w:t>
      </w:r>
      <w:r>
        <w:t>;</w:t>
      </w:r>
    </w:p>
    <w:p w14:paraId="15870CF5" w14:textId="77777777" w:rsidR="003C02CA" w:rsidRDefault="003C02CA" w:rsidP="003C02CA">
      <w:pPr>
        <w:numPr>
          <w:ilvl w:val="0"/>
          <w:numId w:val="19"/>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t xml:space="preserve">moving </w:t>
      </w:r>
      <w:r w:rsidRPr="00B413E2">
        <w:t xml:space="preserve">forward, </w:t>
      </w:r>
      <w:r>
        <w:t xml:space="preserve">they have concluded that </w:t>
      </w:r>
      <w:r w:rsidRPr="00B413E2">
        <w:t xml:space="preserve">increasing the frequency of revaluations would represent a fundamental and meaningful improvement </w:t>
      </w:r>
      <w:r>
        <w:t>to</w:t>
      </w:r>
      <w:r w:rsidRPr="00B413E2">
        <w:t xml:space="preserve"> the business rates system and </w:t>
      </w:r>
      <w:r>
        <w:t xml:space="preserve">would </w:t>
      </w:r>
      <w:r w:rsidRPr="00B413E2">
        <w:t>help to ensure greater distributional fairness</w:t>
      </w:r>
      <w:r>
        <w:t>; c</w:t>
      </w:r>
      <w:r w:rsidRPr="00B413E2">
        <w:t>urrently, revaluations are scheduled to take place every 5 years</w:t>
      </w:r>
      <w:r>
        <w:t xml:space="preserve"> although i</w:t>
      </w:r>
      <w:r w:rsidRPr="00B413E2">
        <w:t xml:space="preserve">n practice, and due in part to the pandemic, these have </w:t>
      </w:r>
      <w:r>
        <w:t xml:space="preserve">only </w:t>
      </w:r>
      <w:r w:rsidRPr="00B413E2">
        <w:t xml:space="preserve">taken place </w:t>
      </w:r>
      <w:r>
        <w:t xml:space="preserve">about every 6-7 years. As such government has </w:t>
      </w:r>
      <w:r w:rsidRPr="00B413E2">
        <w:t>announc</w:t>
      </w:r>
      <w:r>
        <w:t>ed</w:t>
      </w:r>
      <w:r w:rsidRPr="00B413E2">
        <w:t xml:space="preserve"> a 3-yearly cycle for business rates revaluations, starting from the next revaluation in</w:t>
      </w:r>
      <w:r>
        <w:t xml:space="preserve"> 2023.</w:t>
      </w:r>
    </w:p>
    <w:p w14:paraId="7908D769" w14:textId="77777777" w:rsidR="003C02CA"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633CD120" w14:textId="77777777" w:rsidR="003C02CA"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roofErr w:type="gramStart"/>
      <w:r>
        <w:t xml:space="preserve">In </w:t>
      </w:r>
      <w:r w:rsidRPr="00217B14">
        <w:t>light of</w:t>
      </w:r>
      <w:proofErr w:type="gramEnd"/>
      <w:r w:rsidRPr="00217B14">
        <w:t xml:space="preserve"> the above, the quantum of business rates that will remain available to the council after the reset is uncertain</w:t>
      </w:r>
      <w:r>
        <w:t>.</w:t>
      </w:r>
    </w:p>
    <w:p w14:paraId="2F2FADBD" w14:textId="77777777" w:rsidR="003C02CA"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532901D4" w14:textId="77777777" w:rsidR="003C02CA"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It </w:t>
      </w:r>
      <w:r w:rsidRPr="0075220F">
        <w:t xml:space="preserve">is also likely however that the level of funding that councils retain from business rates will be reviewed across the country as part of the </w:t>
      </w:r>
      <w:r>
        <w:t>g</w:t>
      </w:r>
      <w:r w:rsidRPr="0075220F">
        <w:t xml:space="preserve">overnment’s </w:t>
      </w:r>
      <w:r>
        <w:t>‘</w:t>
      </w:r>
      <w:r w:rsidRPr="0075220F">
        <w:t>levelling up</w:t>
      </w:r>
      <w:r>
        <w:t>’</w:t>
      </w:r>
      <w:r w:rsidRPr="0075220F">
        <w:t xml:space="preserve"> agenda. This is expected to flow from the outcome of the Fair Funding </w:t>
      </w:r>
      <w:proofErr w:type="gramStart"/>
      <w:r w:rsidRPr="0075220F">
        <w:t>Review,</w:t>
      </w:r>
      <w:proofErr w:type="gramEnd"/>
      <w:r w:rsidRPr="0075220F">
        <w:t xml:space="preserve"> however no date has been set for these reforms. As such, in the absence of any further information, the budget assumes the council will retain the current level of business rates enjoyed as part of the Lancashire Pool throughout the </w:t>
      </w:r>
      <w:proofErr w:type="gramStart"/>
      <w:r w:rsidRPr="0075220F">
        <w:t>three year</w:t>
      </w:r>
      <w:proofErr w:type="gramEnd"/>
      <w:r w:rsidRPr="0075220F">
        <w:t xml:space="preserve"> period of the</w:t>
      </w:r>
      <w:r>
        <w:t xml:space="preserve"> MTFS.</w:t>
      </w:r>
    </w:p>
    <w:p w14:paraId="6737F782" w14:textId="77777777" w:rsidR="003C02CA" w:rsidRPr="00D400A7" w:rsidRDefault="003C02CA" w:rsidP="003C02CA"/>
    <w:p w14:paraId="691F19BB" w14:textId="77777777" w:rsidR="003C02CA" w:rsidRPr="00D400A7" w:rsidRDefault="003C02CA" w:rsidP="003C02CA">
      <w:pPr>
        <w:pStyle w:val="Heading3"/>
        <w:spacing w:before="0"/>
        <w:rPr>
          <w:b/>
          <w:bCs/>
          <w:i/>
          <w:iCs/>
          <w:color w:val="147FA8"/>
          <w:sz w:val="22"/>
          <w:szCs w:val="22"/>
        </w:rPr>
      </w:pPr>
      <w:r w:rsidRPr="00D400A7">
        <w:rPr>
          <w:b/>
          <w:bCs/>
          <w:i/>
          <w:iCs/>
          <w:color w:val="147FA8"/>
          <w:sz w:val="22"/>
          <w:szCs w:val="22"/>
        </w:rPr>
        <w:t>Council Tax</w:t>
      </w:r>
    </w:p>
    <w:p w14:paraId="692AFD2A" w14:textId="77777777" w:rsidR="003C02CA" w:rsidRDefault="003C02CA" w:rsidP="003C02CA">
      <w:pPr>
        <w:pBdr>
          <w:top w:val="single" w:sz="2" w:space="1" w:color="FFFFFF"/>
          <w:left w:val="single" w:sz="2" w:space="0" w:color="FFFFFF"/>
          <w:bottom w:val="single" w:sz="2" w:space="2" w:color="FFFFFF"/>
          <w:right w:val="single" w:sz="2" w:space="4" w:color="FFFFFF"/>
        </w:pBdr>
        <w:spacing w:line="240" w:lineRule="auto"/>
        <w:ind w:right="141"/>
        <w:jc w:val="both"/>
      </w:pPr>
    </w:p>
    <w:p w14:paraId="313F131E"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t xml:space="preserve">The </w:t>
      </w:r>
      <w:r w:rsidRPr="00524BEE">
        <w:t xml:space="preserve">Local Government Finance Settlement </w:t>
      </w:r>
      <w:r>
        <w:t>confirmed</w:t>
      </w:r>
      <w:r w:rsidRPr="00524BEE">
        <w:t xml:space="preserve"> a council tax increase limit for district councils of up to 2% or £5 (whichever is the greater) on a Band D equivalent in 2022/23. No announcement has been made regarding future </w:t>
      </w:r>
      <w:proofErr w:type="gramStart"/>
      <w:r w:rsidRPr="00524BEE">
        <w:t>years,</w:t>
      </w:r>
      <w:proofErr w:type="gramEnd"/>
      <w:r w:rsidRPr="00524BEE">
        <w:t xml:space="preserve"> however it is assumed that the same principles will continue throughout the future three-year budget period.</w:t>
      </w:r>
    </w:p>
    <w:p w14:paraId="5BCD3E16" w14:textId="77777777" w:rsidR="003C02CA" w:rsidRPr="00FD3F78" w:rsidRDefault="003C02CA" w:rsidP="003C02CA">
      <w:pPr>
        <w:numPr>
          <w:ilvl w:val="0"/>
          <w:numId w:val="11"/>
        </w:numPr>
        <w:pBdr>
          <w:top w:val="single" w:sz="2" w:space="1" w:color="FFFFFF"/>
          <w:left w:val="single" w:sz="2" w:space="0" w:color="FFFFFF"/>
          <w:bottom w:val="single" w:sz="2" w:space="0" w:color="FFFFFF"/>
          <w:right w:val="single" w:sz="2" w:space="4" w:color="FFFFFF"/>
        </w:pBdr>
        <w:contextualSpacing/>
        <w:jc w:val="both"/>
        <w:rPr>
          <w:rFonts w:cs="Arial"/>
          <w:iCs/>
        </w:rPr>
      </w:pPr>
      <w:r w:rsidRPr="00FD3F78">
        <w:rPr>
          <w:rFonts w:cs="Arial"/>
          <w:iCs/>
        </w:rPr>
        <w:t>Following receipt of the Final Govt settlement, after careful consideration as noted in point 13 above, Cabinet has recommended a freeze on Council Tax in 2022/23.</w:t>
      </w:r>
    </w:p>
    <w:p w14:paraId="6BD3CA2D" w14:textId="77777777" w:rsidR="003C02CA" w:rsidRDefault="003C02CA" w:rsidP="003C02CA">
      <w:pPr>
        <w:pStyle w:val="Heading3"/>
        <w:spacing w:before="0"/>
        <w:rPr>
          <w:color w:val="147FA8"/>
          <w:sz w:val="22"/>
          <w:szCs w:val="22"/>
        </w:rPr>
      </w:pPr>
    </w:p>
    <w:p w14:paraId="370007AD" w14:textId="77777777" w:rsidR="003C02CA" w:rsidRPr="00D6267F" w:rsidRDefault="003C02CA" w:rsidP="003C02CA">
      <w:pPr>
        <w:pStyle w:val="Heading3"/>
        <w:spacing w:before="0"/>
        <w:rPr>
          <w:b/>
          <w:bCs/>
          <w:i/>
          <w:iCs/>
          <w:color w:val="147FA8"/>
          <w:sz w:val="22"/>
          <w:szCs w:val="22"/>
        </w:rPr>
      </w:pPr>
      <w:r w:rsidRPr="00D6267F">
        <w:rPr>
          <w:b/>
          <w:bCs/>
          <w:i/>
          <w:iCs/>
          <w:color w:val="147FA8"/>
          <w:sz w:val="22"/>
          <w:szCs w:val="22"/>
        </w:rPr>
        <w:t>New Homes Bonus</w:t>
      </w:r>
    </w:p>
    <w:p w14:paraId="17333DE9" w14:textId="77777777" w:rsidR="003C02CA"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23DAC0C1"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Funding </w:t>
      </w:r>
      <w:r w:rsidRPr="00524BEE">
        <w:t xml:space="preserve">from New Home Bonus (NHB) is assumed to discontinue in 2023/24. The provisional settlement announced an allocation </w:t>
      </w:r>
      <w:r w:rsidRPr="00B22386">
        <w:t>of £802k for 2022</w:t>
      </w:r>
      <w:r w:rsidRPr="00524BEE">
        <w:t xml:space="preserve">/23. No further allocation is assumed after 2022/23. The government consulted on the future of NHB between February and April 2021 and is due to consult on proposed reforms shortly, </w:t>
      </w:r>
      <w:r w:rsidRPr="00524BEE">
        <w:lastRenderedPageBreak/>
        <w:t>with a view to implementing reform in 2023/24. It is expected that a replacement to this funding stream will be announced, however nothing further is known as to how the scheme will operate and what additional levels of funding, if any, will be made available to the council. Once more, this creates a significant degree of uncertainty for the council.</w:t>
      </w:r>
    </w:p>
    <w:p w14:paraId="1A216CEE" w14:textId="77777777" w:rsidR="003C02CA" w:rsidRPr="00524BEE"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0F5C9E83" w14:textId="77777777" w:rsidR="003C02CA"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It should be noted that this funding in 2022/23 is forecast to be passed to the City Deal as per the original </w:t>
      </w:r>
      <w:r>
        <w:t>agreement.</w:t>
      </w:r>
    </w:p>
    <w:p w14:paraId="6F39B5F8" w14:textId="77777777" w:rsidR="003C02CA" w:rsidRDefault="003C02CA" w:rsidP="003C02CA">
      <w:pPr>
        <w:pStyle w:val="ListParagraph"/>
      </w:pPr>
    </w:p>
    <w:p w14:paraId="1406D5A5" w14:textId="77777777" w:rsidR="003C02CA" w:rsidRPr="0096004C" w:rsidRDefault="003C02CA" w:rsidP="003C02CA">
      <w:pPr>
        <w:pStyle w:val="Heading3"/>
        <w:spacing w:before="0"/>
        <w:rPr>
          <w:b/>
          <w:bCs/>
          <w:i/>
          <w:iCs/>
          <w:color w:val="147FA8"/>
          <w:sz w:val="22"/>
          <w:szCs w:val="22"/>
        </w:rPr>
      </w:pPr>
      <w:r w:rsidRPr="0096004C">
        <w:rPr>
          <w:b/>
          <w:bCs/>
          <w:i/>
          <w:iCs/>
          <w:color w:val="147FA8"/>
          <w:sz w:val="22"/>
          <w:szCs w:val="22"/>
        </w:rPr>
        <w:t>Lower Tier Services Grant and Services Grant</w:t>
      </w:r>
    </w:p>
    <w:p w14:paraId="653ED9CE" w14:textId="77777777" w:rsidR="003C02CA" w:rsidRPr="00CA0113" w:rsidRDefault="003C02CA" w:rsidP="003C02CA">
      <w:pPr>
        <w:pStyle w:val="ListParagraph"/>
        <w:pBdr>
          <w:top w:val="single" w:sz="2" w:space="1" w:color="FFFFFF"/>
          <w:left w:val="single" w:sz="2" w:space="0" w:color="FFFFFF"/>
          <w:bottom w:val="single" w:sz="2" w:space="0" w:color="FFFFFF"/>
          <w:right w:val="single" w:sz="2" w:space="4" w:color="FFFFFF"/>
        </w:pBdr>
        <w:spacing w:after="0"/>
        <w:ind w:left="567"/>
        <w:rPr>
          <w:rFonts w:ascii="Arial" w:hAnsi="Arial" w:cs="Arial"/>
          <w:iCs/>
          <w:sz w:val="2"/>
          <w:szCs w:val="2"/>
        </w:rPr>
      </w:pPr>
    </w:p>
    <w:p w14:paraId="37369CE3" w14:textId="77777777" w:rsidR="003C02CA" w:rsidRPr="00384F96"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iCs/>
        </w:rPr>
      </w:pPr>
      <w:r w:rsidRPr="00710DD2">
        <w:rPr>
          <w:rFonts w:ascii="Arial" w:hAnsi="Arial" w:cs="Arial"/>
          <w:iCs/>
        </w:rPr>
        <w:t xml:space="preserve">As </w:t>
      </w:r>
      <w:r w:rsidRPr="00710DD2">
        <w:t>referenced above, every</w:t>
      </w:r>
      <w:r w:rsidRPr="00524BEE">
        <w:t xml:space="preserve"> year the Government calculates the council’s core spending power; this is a combination of the council’s council tax income, business rates income and new homes bonus grant allocation. The government has retained the Lower Tier Services Grant to compensate the council in 2022/23 for </w:t>
      </w:r>
      <w:r>
        <w:t>the reduction in funding identified through the core spending power calculation; first introduced in 2021/22, this is a non-recurring, un-</w:t>
      </w:r>
      <w:proofErr w:type="spellStart"/>
      <w:r>
        <w:t>rinfenced</w:t>
      </w:r>
      <w:proofErr w:type="spellEnd"/>
      <w:r>
        <w:t xml:space="preserve"> </w:t>
      </w:r>
      <w:r w:rsidRPr="00384F96">
        <w:t xml:space="preserve">grant of £107k. </w:t>
      </w:r>
    </w:p>
    <w:p w14:paraId="452D7D44" w14:textId="77777777" w:rsidR="003C02CA"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rPr>
          <w:rFonts w:ascii="Arial" w:hAnsi="Arial" w:cs="Arial"/>
          <w:iCs/>
        </w:rPr>
      </w:pPr>
    </w:p>
    <w:p w14:paraId="7D2B7A82" w14:textId="77777777" w:rsidR="003C02CA" w:rsidRPr="00384F96"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iCs/>
        </w:rPr>
      </w:pPr>
      <w:r w:rsidRPr="00384F96">
        <w:t>In 2022/23 the Government has also provided an additional Services Grant, again non-recurring and non-ringfenced, and distributed on the same basis as the Lower Tier Services Grant; the council’s allocation for this is £162k.</w:t>
      </w:r>
    </w:p>
    <w:p w14:paraId="0807C125" w14:textId="77777777" w:rsidR="003C02CA" w:rsidRPr="00E21A94"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rPr>
          <w:rFonts w:ascii="Arial" w:hAnsi="Arial" w:cs="Arial"/>
          <w:iCs/>
        </w:rPr>
      </w:pPr>
    </w:p>
    <w:p w14:paraId="2C895BEB" w14:textId="77777777" w:rsidR="003C02CA" w:rsidRPr="00315577"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iCs/>
        </w:rPr>
      </w:pPr>
      <w:r w:rsidRPr="00524BEE">
        <w:t>Whil</w:t>
      </w:r>
      <w:r>
        <w:t>st</w:t>
      </w:r>
      <w:r w:rsidRPr="00524BEE">
        <w:t xml:space="preserve"> a benefit to the 2022/23 budget, the one-off nature of this funding stream does mean that the council continues to face significant financial uncertainty over the medium term.</w:t>
      </w:r>
      <w:r>
        <w:t xml:space="preserve"> </w:t>
      </w:r>
    </w:p>
    <w:p w14:paraId="2C98180B" w14:textId="77777777" w:rsidR="003C02CA" w:rsidRDefault="003C02CA" w:rsidP="003C02CA">
      <w:pPr>
        <w:pStyle w:val="ListParagraph"/>
      </w:pPr>
    </w:p>
    <w:p w14:paraId="61DF3762" w14:textId="77777777" w:rsidR="003C02CA" w:rsidRPr="00315577" w:rsidRDefault="003C02CA" w:rsidP="003C02CA">
      <w:pPr>
        <w:pBdr>
          <w:top w:val="single" w:sz="2" w:space="1" w:color="FFFFFF"/>
          <w:left w:val="single" w:sz="2" w:space="0" w:color="FFFFFF"/>
          <w:bottom w:val="single" w:sz="2" w:space="0" w:color="FFFFFF"/>
          <w:right w:val="single" w:sz="2" w:space="4" w:color="FFFFFF"/>
        </w:pBdr>
        <w:spacing w:after="0" w:line="240" w:lineRule="auto"/>
        <w:jc w:val="both"/>
        <w:rPr>
          <w:rFonts w:cs="Arial"/>
          <w:b/>
          <w:bCs/>
          <w:i/>
          <w:iCs/>
          <w:color w:val="548DD4" w:themeColor="text2" w:themeTint="99"/>
          <w:szCs w:val="16"/>
        </w:rPr>
      </w:pPr>
      <w:r w:rsidRPr="00315577">
        <w:rPr>
          <w:rFonts w:cs="Arial"/>
          <w:b/>
          <w:bCs/>
          <w:i/>
          <w:iCs/>
          <w:color w:val="548DD4" w:themeColor="text2" w:themeTint="99"/>
          <w:szCs w:val="16"/>
        </w:rPr>
        <w:t>Summary of Major Sources of Council Funding</w:t>
      </w:r>
    </w:p>
    <w:p w14:paraId="4B5C9F31" w14:textId="77777777" w:rsidR="003C02CA" w:rsidRPr="00315577" w:rsidRDefault="003C02CA" w:rsidP="003C02CA">
      <w:pPr>
        <w:pStyle w:val="ListParagraph"/>
        <w:pBdr>
          <w:top w:val="single" w:sz="2" w:space="1" w:color="FFFFFF"/>
          <w:left w:val="single" w:sz="2" w:space="0" w:color="FFFFFF"/>
          <w:bottom w:val="single" w:sz="2" w:space="0" w:color="FFFFFF"/>
          <w:right w:val="single" w:sz="2" w:space="4" w:color="FFFFFF"/>
        </w:pBdr>
        <w:spacing w:after="0" w:line="240" w:lineRule="auto"/>
        <w:ind w:left="567"/>
        <w:jc w:val="both"/>
        <w:rPr>
          <w:rFonts w:cs="Arial"/>
          <w:szCs w:val="16"/>
        </w:rPr>
      </w:pPr>
    </w:p>
    <w:p w14:paraId="3B53E68E" w14:textId="77777777" w:rsidR="003C02CA" w:rsidRPr="005059D9"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Pr>
          <w:iCs/>
        </w:rPr>
        <w:t>The chart b</w:t>
      </w:r>
      <w:r>
        <w:t>elow</w:t>
      </w:r>
      <w:r w:rsidRPr="00006D09">
        <w:t xml:space="preserve"> outlines the forecast level of funding across the next </w:t>
      </w:r>
      <w:r w:rsidRPr="009F5787">
        <w:t>three</w:t>
      </w:r>
      <w:r w:rsidRPr="00006D09">
        <w:t xml:space="preserve"> years in comparison to previous allocations. </w:t>
      </w:r>
      <w:r>
        <w:t xml:space="preserve">As the government has only published a one-year settlement, it is assumed that the Lower Tier Services Grant, the Services </w:t>
      </w:r>
      <w:proofErr w:type="gramStart"/>
      <w:r>
        <w:t>Grant</w:t>
      </w:r>
      <w:proofErr w:type="gramEnd"/>
      <w:r>
        <w:t xml:space="preserve"> and </w:t>
      </w:r>
      <w:r w:rsidRPr="005059D9">
        <w:t xml:space="preserve">the New Homes Bonus will not continue in 2023/24 and beyond. </w:t>
      </w:r>
    </w:p>
    <w:p w14:paraId="1CC0A191" w14:textId="77777777" w:rsidR="003C02CA" w:rsidRPr="005059D9" w:rsidRDefault="003C02CA" w:rsidP="003C02CA">
      <w:pPr>
        <w:pStyle w:val="ListParagraph"/>
        <w:numPr>
          <w:ilvl w:val="0"/>
          <w:numId w:val="11"/>
        </w:numPr>
        <w:pBdr>
          <w:top w:val="single" w:sz="2" w:space="1" w:color="FFFFFF"/>
          <w:left w:val="single" w:sz="2" w:space="0" w:color="FFFFFF"/>
          <w:bottom w:val="single" w:sz="2" w:space="0" w:color="FFFFFF"/>
          <w:right w:val="single" w:sz="2" w:space="4" w:color="FFFFFF"/>
        </w:pBdr>
        <w:spacing w:after="0" w:line="240" w:lineRule="auto"/>
        <w:jc w:val="both"/>
        <w:rPr>
          <w:rFonts w:cs="Arial"/>
          <w:szCs w:val="16"/>
        </w:rPr>
      </w:pPr>
      <w:r w:rsidRPr="005059D9">
        <w:rPr>
          <w:iCs/>
        </w:rPr>
        <w:t>As the graph shows, the funding</w:t>
      </w:r>
      <w:r w:rsidRPr="005059D9">
        <w:rPr>
          <w:rFonts w:cs="Arial"/>
          <w:szCs w:val="16"/>
        </w:rPr>
        <w:t xml:space="preserve"> to South </w:t>
      </w:r>
      <w:proofErr w:type="spellStart"/>
      <w:r w:rsidRPr="005059D9">
        <w:rPr>
          <w:rFonts w:cs="Arial"/>
          <w:szCs w:val="16"/>
        </w:rPr>
        <w:t>Ribble</w:t>
      </w:r>
      <w:proofErr w:type="spellEnd"/>
      <w:r w:rsidRPr="005059D9">
        <w:rPr>
          <w:rFonts w:cs="Arial"/>
          <w:szCs w:val="16"/>
        </w:rPr>
        <w:t xml:space="preserve"> Council is forecast to have risen slightly £13.9m in 2016/17 to £14.9m by 2024/25.</w:t>
      </w:r>
    </w:p>
    <w:p w14:paraId="2502F232" w14:textId="77777777" w:rsidR="003C02CA" w:rsidRDefault="003C02CA" w:rsidP="003C02CA">
      <w:pPr>
        <w:pBdr>
          <w:top w:val="single" w:sz="2" w:space="1" w:color="FFFFFF"/>
          <w:left w:val="single" w:sz="2" w:space="0" w:color="FFFFFF"/>
          <w:bottom w:val="single" w:sz="2" w:space="0" w:color="FFFFFF"/>
          <w:right w:val="single" w:sz="2" w:space="4" w:color="FFFFFF"/>
        </w:pBdr>
        <w:spacing w:after="0" w:line="240" w:lineRule="auto"/>
        <w:jc w:val="both"/>
        <w:rPr>
          <w:rFonts w:cs="Arial"/>
          <w:szCs w:val="16"/>
          <w:highlight w:val="yellow"/>
        </w:rPr>
      </w:pPr>
    </w:p>
    <w:p w14:paraId="7D123CAE" w14:textId="77777777" w:rsidR="003C02CA" w:rsidRPr="00315577" w:rsidRDefault="003C02CA" w:rsidP="003C02CA">
      <w:pPr>
        <w:pBdr>
          <w:top w:val="single" w:sz="2" w:space="1" w:color="FFFFFF"/>
          <w:left w:val="single" w:sz="2" w:space="0" w:color="FFFFFF"/>
          <w:bottom w:val="single" w:sz="2" w:space="0" w:color="FFFFFF"/>
          <w:right w:val="single" w:sz="2" w:space="4" w:color="FFFFFF"/>
        </w:pBdr>
        <w:spacing w:after="0" w:line="240" w:lineRule="auto"/>
        <w:jc w:val="both"/>
        <w:rPr>
          <w:rFonts w:cs="Arial"/>
          <w:b/>
          <w:bCs/>
          <w:color w:val="FF0000"/>
          <w:sz w:val="28"/>
          <w:szCs w:val="28"/>
          <w:highlight w:val="yellow"/>
        </w:rPr>
      </w:pPr>
      <w:r w:rsidRPr="005059D9">
        <w:rPr>
          <w:rFonts w:cs="Arial"/>
          <w:b/>
          <w:bCs/>
          <w:noProof/>
          <w:color w:val="FF0000"/>
          <w:sz w:val="28"/>
          <w:szCs w:val="28"/>
        </w:rPr>
        <w:lastRenderedPageBreak/>
        <w:drawing>
          <wp:inline distT="0" distB="0" distL="0" distR="0" wp14:anchorId="4DA31067" wp14:editId="03B92014">
            <wp:extent cx="6096635" cy="360299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602990"/>
                    </a:xfrm>
                    <a:prstGeom prst="rect">
                      <a:avLst/>
                    </a:prstGeom>
                    <a:noFill/>
                  </pic:spPr>
                </pic:pic>
              </a:graphicData>
            </a:graphic>
          </wp:inline>
        </w:drawing>
      </w:r>
    </w:p>
    <w:p w14:paraId="3FAEDB38" w14:textId="77777777" w:rsidR="003C02CA" w:rsidRDefault="003C02CA" w:rsidP="003C02CA">
      <w:pPr>
        <w:pStyle w:val="ListParagraph"/>
        <w:pBdr>
          <w:top w:val="single" w:sz="2" w:space="1" w:color="FFFFFF"/>
          <w:left w:val="single" w:sz="2" w:space="0" w:color="FFFFFF"/>
          <w:bottom w:val="single" w:sz="2" w:space="0" w:color="FFFFFF"/>
          <w:right w:val="single" w:sz="2" w:space="4" w:color="FFFFFF"/>
        </w:pBdr>
        <w:ind w:left="567"/>
        <w:rPr>
          <w:rFonts w:cs="Arial"/>
          <w:szCs w:val="16"/>
          <w:highlight w:val="yellow"/>
        </w:rPr>
      </w:pPr>
    </w:p>
    <w:p w14:paraId="321CBE7F" w14:textId="77777777" w:rsidR="003C02CA" w:rsidRDefault="003C02CA" w:rsidP="003C02CA">
      <w:pPr>
        <w:pStyle w:val="ListParagraph"/>
        <w:pBdr>
          <w:top w:val="single" w:sz="2" w:space="1" w:color="FFFFFF"/>
          <w:left w:val="single" w:sz="2" w:space="0" w:color="FFFFFF"/>
          <w:bottom w:val="single" w:sz="2" w:space="0" w:color="FFFFFF"/>
          <w:right w:val="single" w:sz="2" w:space="4" w:color="FFFFFF"/>
        </w:pBdr>
        <w:ind w:left="567"/>
        <w:rPr>
          <w:rFonts w:cs="Arial"/>
          <w:szCs w:val="16"/>
          <w:highlight w:val="yellow"/>
        </w:rPr>
      </w:pPr>
    </w:p>
    <w:p w14:paraId="13C4EF19" w14:textId="77777777" w:rsidR="003C02CA" w:rsidRPr="009E259B"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rPr>
          <w:rFonts w:ascii="Arial" w:hAnsi="Arial" w:cs="Arial"/>
          <w:color w:val="FFFFFF" w:themeColor="background1"/>
          <w:sz w:val="24"/>
          <w:szCs w:val="24"/>
        </w:rPr>
      </w:pPr>
      <w:r w:rsidRPr="009E259B">
        <w:rPr>
          <w:rFonts w:ascii="Arial" w:hAnsi="Arial" w:cs="Arial"/>
          <w:color w:val="FFFFFF" w:themeColor="background1"/>
          <w:sz w:val="24"/>
          <w:szCs w:val="24"/>
        </w:rPr>
        <w:t xml:space="preserve">2022/23 BUDGET – </w:t>
      </w:r>
      <w:r>
        <w:rPr>
          <w:rFonts w:ascii="Arial" w:hAnsi="Arial" w:cs="Arial"/>
          <w:color w:val="FFFFFF" w:themeColor="background1"/>
          <w:sz w:val="24"/>
          <w:szCs w:val="24"/>
        </w:rPr>
        <w:t>EXPENDITURE</w:t>
      </w:r>
    </w:p>
    <w:p w14:paraId="05154736" w14:textId="77777777" w:rsidR="003C02CA" w:rsidRPr="009E259B" w:rsidRDefault="003C02CA" w:rsidP="003C02CA">
      <w:pPr>
        <w:pStyle w:val="Heading3"/>
        <w:spacing w:before="0"/>
        <w:rPr>
          <w:b/>
          <w:bCs/>
          <w:i/>
          <w:iCs/>
          <w:color w:val="147FA8"/>
          <w:sz w:val="22"/>
          <w:szCs w:val="22"/>
        </w:rPr>
      </w:pPr>
      <w:r>
        <w:rPr>
          <w:b/>
          <w:bCs/>
          <w:i/>
          <w:iCs/>
          <w:color w:val="147FA8"/>
          <w:sz w:val="22"/>
          <w:szCs w:val="22"/>
        </w:rPr>
        <w:t xml:space="preserve">Salary Budget and </w:t>
      </w:r>
      <w:r w:rsidRPr="009E259B">
        <w:rPr>
          <w:b/>
          <w:bCs/>
          <w:i/>
          <w:iCs/>
          <w:color w:val="147FA8"/>
          <w:sz w:val="22"/>
          <w:szCs w:val="22"/>
        </w:rPr>
        <w:t>Pay Award</w:t>
      </w:r>
    </w:p>
    <w:p w14:paraId="1C598DC7"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CA0113">
        <w:t xml:space="preserve">The </w:t>
      </w:r>
      <w:r w:rsidRPr="00524BEE">
        <w:t xml:space="preserve">2020 Government spending review announced a pay freeze for 2021/22 for </w:t>
      </w:r>
      <w:proofErr w:type="gramStart"/>
      <w:r w:rsidRPr="00524BEE">
        <w:t>the majority of</w:t>
      </w:r>
      <w:proofErr w:type="gramEnd"/>
      <w:r w:rsidRPr="00524BEE">
        <w:t xml:space="preserve"> public sector staff, with a guaranteed a pay rise of at least £250 for all staff that earn less than £24,000 per year. At the time of writing this report, the pay negotiations are still ongoing for 2021/22, with the current offer of 1.75% made by the Employers having been rejected by the Trade Unions. The budget has however been adjusted to reflect an uplift of 1.75% in line with the current offer.</w:t>
      </w:r>
    </w:p>
    <w:p w14:paraId="32A0D6BF"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 xml:space="preserve">In the Spending Review in October 2021, the Chancellor said that pay awards for public sector workers in 2022/23 would be in line with </w:t>
      </w:r>
      <w:r>
        <w:t>Consumer Price Index (CPI)</w:t>
      </w:r>
      <w:r w:rsidRPr="00524BEE">
        <w:t xml:space="preserve">. With the negotiations for 2021/22 yet to conclude, and no fixed point in time announced for the determination of CPI, a provision of 2% has been made in the pay budget, which equates to approximately </w:t>
      </w:r>
      <w:r w:rsidRPr="00B22386">
        <w:t>£230k</w:t>
      </w:r>
      <w:r w:rsidRPr="00524BEE">
        <w:t xml:space="preserve"> per year, for South </w:t>
      </w:r>
      <w:proofErr w:type="spellStart"/>
      <w:r w:rsidRPr="00524BEE">
        <w:t>Ribble</w:t>
      </w:r>
      <w:proofErr w:type="spellEnd"/>
      <w:r>
        <w:t xml:space="preserve"> Borough</w:t>
      </w:r>
      <w:r w:rsidRPr="00524BEE">
        <w:t xml:space="preserve"> Council in 2022/23; the Government’s proposals are not yet agreed with public sector unions. </w:t>
      </w:r>
    </w:p>
    <w:p w14:paraId="5F5B33DA" w14:textId="77777777" w:rsidR="003C02CA"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spending review also announced that the National Living Wage will rise from £8.91 to £9.50 an hour and will be extended to workers aged 23 and over from April 2022. This will not affect South </w:t>
      </w:r>
      <w:proofErr w:type="spellStart"/>
      <w:r w:rsidRPr="00524BEE">
        <w:t>Ribble</w:t>
      </w:r>
      <w:proofErr w:type="spellEnd"/>
      <w:r w:rsidRPr="00524BEE">
        <w:t xml:space="preserve"> </w:t>
      </w:r>
      <w:r>
        <w:t xml:space="preserve">Borough </w:t>
      </w:r>
      <w:r w:rsidRPr="00524BEE">
        <w:t>Council’s pay bands for 2022/23 as the council pays above this level already.</w:t>
      </w:r>
    </w:p>
    <w:p w14:paraId="48E12390" w14:textId="77777777" w:rsidR="003C02CA"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001E1E56" w14:textId="77777777" w:rsidR="003C02CA"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The salary </w:t>
      </w:r>
      <w:r w:rsidRPr="00CA0113">
        <w:rPr>
          <w:rFonts w:ascii="Arial" w:hAnsi="Arial" w:cs="Arial"/>
        </w:rPr>
        <w:t xml:space="preserve">budget includes a </w:t>
      </w:r>
      <w:r>
        <w:rPr>
          <w:rFonts w:ascii="Arial" w:hAnsi="Arial" w:cs="Arial"/>
        </w:rPr>
        <w:t xml:space="preserve">2.5% allowance </w:t>
      </w:r>
      <w:r w:rsidRPr="00CA0113">
        <w:rPr>
          <w:rFonts w:ascii="Arial" w:hAnsi="Arial" w:cs="Arial"/>
        </w:rPr>
        <w:t>to reflect the fact that there will always be turnover of staff during a year that will cause a certain level of underspending</w:t>
      </w:r>
      <w:r>
        <w:rPr>
          <w:rFonts w:ascii="Arial" w:hAnsi="Arial" w:cs="Arial"/>
        </w:rPr>
        <w:t xml:space="preserve"> due to the time it takes to recruit replacements; this equates to approximately </w:t>
      </w:r>
      <w:r w:rsidRPr="00384F96">
        <w:rPr>
          <w:rFonts w:ascii="Arial" w:hAnsi="Arial" w:cs="Arial"/>
        </w:rPr>
        <w:t>£263k.</w:t>
      </w:r>
    </w:p>
    <w:p w14:paraId="1E7E869C" w14:textId="77777777" w:rsidR="003C02CA" w:rsidRPr="00524BEE"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76FEDF71" w14:textId="77777777" w:rsidR="003C02CA" w:rsidRPr="00F7411F" w:rsidRDefault="003C02CA" w:rsidP="003C02CA">
      <w:pPr>
        <w:pStyle w:val="Heading3"/>
        <w:spacing w:before="0"/>
        <w:rPr>
          <w:b/>
          <w:bCs/>
          <w:i/>
          <w:iCs/>
          <w:color w:val="147FA8"/>
          <w:sz w:val="22"/>
          <w:szCs w:val="22"/>
        </w:rPr>
      </w:pPr>
      <w:r w:rsidRPr="00F7411F">
        <w:rPr>
          <w:b/>
          <w:bCs/>
          <w:i/>
          <w:iCs/>
          <w:color w:val="147FA8"/>
          <w:sz w:val="22"/>
          <w:szCs w:val="22"/>
        </w:rPr>
        <w:lastRenderedPageBreak/>
        <w:t>Pensions</w:t>
      </w:r>
    </w:p>
    <w:p w14:paraId="2ACEF94C" w14:textId="77777777" w:rsidR="003C02CA" w:rsidRPr="00CA0113"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CA0113">
        <w:t xml:space="preserve">As </w:t>
      </w:r>
      <w:r w:rsidRPr="00524BEE">
        <w:t>part of their triennial pension review in 20</w:t>
      </w:r>
      <w:r>
        <w:t>19</w:t>
      </w:r>
      <w:r w:rsidRPr="00524BEE">
        <w:t>, the Lancashire County Pension Fund announced an increase in employer pension contributions for the council from 14.9% to 17.1% for each of the three financial years 202</w:t>
      </w:r>
      <w:r>
        <w:t>0</w:t>
      </w:r>
      <w:r w:rsidRPr="00524BEE">
        <w:t>/2</w:t>
      </w:r>
      <w:r>
        <w:t>1</w:t>
      </w:r>
      <w:r w:rsidRPr="00524BEE">
        <w:t xml:space="preserve"> to 202</w:t>
      </w:r>
      <w:r>
        <w:t>2</w:t>
      </w:r>
      <w:r w:rsidRPr="00524BEE">
        <w:t>/2</w:t>
      </w:r>
      <w:r>
        <w:t>3</w:t>
      </w:r>
      <w:r w:rsidRPr="00524BEE">
        <w:t xml:space="preserve">, to meet the future costs of the scheme. The same contribution rate is assumed for </w:t>
      </w:r>
      <w:r>
        <w:t xml:space="preserve">2023/24 and </w:t>
      </w:r>
      <w:r w:rsidRPr="00524BEE">
        <w:t>2024/25, although this will be reviewed when the new three-year review is undertaken</w:t>
      </w:r>
      <w:r w:rsidRPr="00CA0113">
        <w:t>.</w:t>
      </w:r>
    </w:p>
    <w:p w14:paraId="613EAD34" w14:textId="77777777" w:rsidR="003C02CA" w:rsidRPr="00CA0113" w:rsidRDefault="003C02CA" w:rsidP="003C02CA">
      <w:pPr>
        <w:pStyle w:val="ListParagraph"/>
        <w:spacing w:after="0" w:line="240" w:lineRule="auto"/>
        <w:ind w:left="567"/>
        <w:jc w:val="both"/>
      </w:pPr>
    </w:p>
    <w:p w14:paraId="3C878081" w14:textId="77777777" w:rsidR="003C02CA" w:rsidRPr="007B171D" w:rsidRDefault="003C02CA" w:rsidP="003C02CA">
      <w:pPr>
        <w:pStyle w:val="Heading3"/>
        <w:spacing w:before="0"/>
        <w:rPr>
          <w:b/>
          <w:bCs/>
          <w:i/>
          <w:iCs/>
          <w:color w:val="147FA8"/>
          <w:sz w:val="22"/>
          <w:szCs w:val="22"/>
        </w:rPr>
      </w:pPr>
      <w:r w:rsidRPr="007B171D">
        <w:rPr>
          <w:b/>
          <w:bCs/>
          <w:i/>
          <w:iCs/>
          <w:color w:val="147FA8"/>
          <w:sz w:val="22"/>
          <w:szCs w:val="22"/>
        </w:rPr>
        <w:t xml:space="preserve">Brexit and </w:t>
      </w:r>
      <w:proofErr w:type="spellStart"/>
      <w:r w:rsidRPr="007B171D">
        <w:rPr>
          <w:b/>
          <w:bCs/>
          <w:i/>
          <w:iCs/>
          <w:color w:val="147FA8"/>
          <w:sz w:val="22"/>
          <w:szCs w:val="22"/>
        </w:rPr>
        <w:t>Covid</w:t>
      </w:r>
      <w:proofErr w:type="spellEnd"/>
      <w:r w:rsidRPr="007B171D">
        <w:rPr>
          <w:b/>
          <w:bCs/>
          <w:i/>
          <w:iCs/>
          <w:color w:val="147FA8"/>
          <w:sz w:val="22"/>
          <w:szCs w:val="22"/>
        </w:rPr>
        <w:t xml:space="preserve"> 19</w:t>
      </w:r>
    </w:p>
    <w:p w14:paraId="35599BD2"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CA0113">
        <w:t>Concerns</w:t>
      </w:r>
      <w:r w:rsidRPr="00CA0113">
        <w:rPr>
          <w:bCs/>
          <w:iCs/>
        </w:rPr>
        <w:t xml:space="preserve"> </w:t>
      </w:r>
      <w:r w:rsidRPr="00524BEE">
        <w:rPr>
          <w:bCs/>
          <w:iCs/>
        </w:rPr>
        <w:t xml:space="preserve">remain about the impact of the United Kingdom’s withdrawal from the European Union (BREXIT). Much speculation continues around the likely financial effects of the leave arrangements, with potential risks to the council including increases in inflation and a slowdown in the local economy, impacting upon rental and property values and on income collected from business rates and council tax. In 2021/22 we have seen costs rise, for example: </w:t>
      </w:r>
    </w:p>
    <w:p w14:paraId="49BBA1A7" w14:textId="77777777" w:rsidR="003C02CA" w:rsidRPr="00524BEE" w:rsidRDefault="003C02CA" w:rsidP="003C02CA">
      <w:pPr>
        <w:numPr>
          <w:ilvl w:val="0"/>
          <w:numId w:val="20"/>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those driven by a shortage of HGV drivers which may continue to impact on the waste contract; </w:t>
      </w:r>
    </w:p>
    <w:p w14:paraId="3E355FC1" w14:textId="77777777" w:rsidR="003C02CA" w:rsidRPr="00524BEE" w:rsidRDefault="003C02CA" w:rsidP="003C02CA">
      <w:pPr>
        <w:numPr>
          <w:ilvl w:val="0"/>
          <w:numId w:val="20"/>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increases in the costs of building materials sourced from the continent impacting on the cost of our capital programme, and; </w:t>
      </w:r>
    </w:p>
    <w:p w14:paraId="20A75205" w14:textId="77777777" w:rsidR="003C02CA" w:rsidRPr="00524BEE" w:rsidRDefault="003C02CA" w:rsidP="003C02CA">
      <w:pPr>
        <w:numPr>
          <w:ilvl w:val="0"/>
          <w:numId w:val="20"/>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increases in the cost of food, both due to the cost of imports and due to the shortage of workers in the agricultural sector within our own economy as European workers have returned home; these cost increases have impacted upon the finances of our residents. </w:t>
      </w:r>
    </w:p>
    <w:p w14:paraId="4E025AAA" w14:textId="77777777" w:rsidR="003C02CA" w:rsidRPr="007B171D"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rPr>
          <w:bCs/>
          <w:i/>
        </w:rPr>
      </w:pPr>
    </w:p>
    <w:p w14:paraId="4B5D0539"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 xml:space="preserve">The </w:t>
      </w:r>
      <w:r w:rsidRPr="00524BEE">
        <w:rPr>
          <w:bCs/>
          <w:iCs/>
        </w:rPr>
        <w:t>financial impact of Covid-19 has been outlined in the quarterly budget monitoring reports approved by Cabinet throughout 2021/22. This includes:</w:t>
      </w:r>
    </w:p>
    <w:p w14:paraId="4A9E30E6" w14:textId="77777777" w:rsidR="003C02CA" w:rsidRPr="00524BEE" w:rsidRDefault="003C02CA" w:rsidP="003C02CA">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 xml:space="preserve">Reductions in council tax and business rates collection rates; </w:t>
      </w:r>
    </w:p>
    <w:p w14:paraId="31C6D58D" w14:textId="77777777" w:rsidR="003C02CA" w:rsidRPr="00524BEE" w:rsidRDefault="003C02CA" w:rsidP="003C02CA">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Government grant funding received to support various initiatives, including support to businesses, providing additional homelessness and food support to residents and support for the test and trace systems;</w:t>
      </w:r>
    </w:p>
    <w:p w14:paraId="33FB4E93" w14:textId="77777777" w:rsidR="003C02CA" w:rsidRPr="00524BEE" w:rsidRDefault="003C02CA" w:rsidP="003C02CA">
      <w:pPr>
        <w:numPr>
          <w:ilvl w:val="1"/>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 xml:space="preserve">Government support for the reduced level of income received from fees and charges for the first </w:t>
      </w:r>
      <w:r>
        <w:rPr>
          <w:bCs/>
          <w:iCs/>
        </w:rPr>
        <w:t>three</w:t>
      </w:r>
      <w:r w:rsidRPr="00524BEE">
        <w:rPr>
          <w:bCs/>
          <w:iCs/>
        </w:rPr>
        <w:t xml:space="preserve"> months of 2021/22, including reduced levels of leisure services income;</w:t>
      </w:r>
    </w:p>
    <w:p w14:paraId="4B023AC3" w14:textId="77777777" w:rsidR="003C02CA" w:rsidRPr="00524BEE" w:rsidRDefault="003C02CA" w:rsidP="003C02CA">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
        </w:rPr>
      </w:pPr>
      <w:r w:rsidRPr="00524BEE">
        <w:rPr>
          <w:bCs/>
          <w:iCs/>
        </w:rPr>
        <w:t>Reductions in rents at the council’s commercial sites</w:t>
      </w:r>
      <w:r>
        <w:rPr>
          <w:bCs/>
          <w:iCs/>
        </w:rPr>
        <w:t>.</w:t>
      </w:r>
    </w:p>
    <w:p w14:paraId="2F95311E"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As part of the budget setting process for 2022/23, and the two years beyond, the following assumptions have been made regarding Covid-19 and the economy as a whole:</w:t>
      </w:r>
    </w:p>
    <w:p w14:paraId="098A236B" w14:textId="77777777" w:rsidR="003C02CA" w:rsidRPr="00524BEE" w:rsidRDefault="003C02CA" w:rsidP="003C02CA">
      <w:pPr>
        <w:pBdr>
          <w:top w:val="single" w:sz="2" w:space="1" w:color="FFFFFF"/>
          <w:left w:val="single" w:sz="2" w:space="0" w:color="FFFFFF"/>
          <w:bottom w:val="single" w:sz="2" w:space="2" w:color="FFFFFF"/>
          <w:right w:val="single" w:sz="2" w:space="4" w:color="FFFFFF"/>
        </w:pBdr>
        <w:spacing w:after="0"/>
        <w:ind w:right="141" w:firstLine="567"/>
        <w:rPr>
          <w:bCs/>
          <w:i/>
        </w:rPr>
      </w:pPr>
      <w:r w:rsidRPr="00524BEE">
        <w:rPr>
          <w:bCs/>
          <w:i/>
        </w:rPr>
        <w:t>Income</w:t>
      </w:r>
    </w:p>
    <w:p w14:paraId="137D7958" w14:textId="77777777" w:rsidR="003C02CA" w:rsidRPr="00524BEE" w:rsidRDefault="003C02CA" w:rsidP="003C02CA">
      <w:pPr>
        <w:numPr>
          <w:ilvl w:val="1"/>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That the impact of Covid-19 on the income from fees and charges will not be permanent and that levels will return to those pre</w:t>
      </w:r>
      <w:r w:rsidRPr="00B63EED">
        <w:rPr>
          <w:bCs/>
          <w:iCs/>
        </w:rPr>
        <w:t>-</w:t>
      </w:r>
      <w:proofErr w:type="spellStart"/>
      <w:r w:rsidRPr="00B63EED">
        <w:rPr>
          <w:bCs/>
          <w:iCs/>
        </w:rPr>
        <w:t>Covid</w:t>
      </w:r>
      <w:proofErr w:type="spellEnd"/>
      <w:r w:rsidRPr="00B63EED">
        <w:rPr>
          <w:bCs/>
          <w:iCs/>
        </w:rPr>
        <w:t>, including the council’s major sources of income such planning fees;</w:t>
      </w:r>
    </w:p>
    <w:p w14:paraId="4FA4E4A8" w14:textId="77777777" w:rsidR="003C02CA" w:rsidRPr="00524BEE" w:rsidRDefault="003C02CA" w:rsidP="003C02CA">
      <w:pPr>
        <w:pBdr>
          <w:top w:val="single" w:sz="2" w:space="1" w:color="FFFFFF"/>
          <w:left w:val="single" w:sz="2" w:space="0" w:color="FFFFFF"/>
          <w:bottom w:val="single" w:sz="2" w:space="2" w:color="FFFFFF"/>
          <w:right w:val="single" w:sz="2" w:space="4" w:color="FFFFFF"/>
        </w:pBdr>
        <w:spacing w:after="0"/>
        <w:ind w:right="141" w:firstLine="567"/>
        <w:rPr>
          <w:bCs/>
          <w:i/>
        </w:rPr>
      </w:pPr>
      <w:r w:rsidRPr="00524BEE">
        <w:rPr>
          <w:bCs/>
          <w:i/>
        </w:rPr>
        <w:t>Expenditure</w:t>
      </w:r>
    </w:p>
    <w:p w14:paraId="03E4EA03" w14:textId="77777777" w:rsidR="003C02CA" w:rsidRPr="00524BEE" w:rsidRDefault="003C02CA" w:rsidP="003C02CA">
      <w:pPr>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bCs/>
          <w:i/>
        </w:rPr>
      </w:pPr>
      <w:r w:rsidRPr="00524BEE">
        <w:rPr>
          <w:bCs/>
          <w:iCs/>
        </w:rPr>
        <w:t xml:space="preserve">That any expenditure relating to the council’s compliance with current or future </w:t>
      </w:r>
      <w:r>
        <w:rPr>
          <w:bCs/>
          <w:iCs/>
        </w:rPr>
        <w:t>g</w:t>
      </w:r>
      <w:r w:rsidRPr="00524BEE">
        <w:rPr>
          <w:bCs/>
          <w:iCs/>
        </w:rPr>
        <w:t>overnment Covid-19 requirements will be met through existing budgets or grants from Government. This may include future grants to businesses, support to the homelessness or support to residents such as additional council tax support;</w:t>
      </w:r>
    </w:p>
    <w:p w14:paraId="7FF2148E" w14:textId="77777777" w:rsidR="003C02CA" w:rsidRDefault="003C02CA" w:rsidP="003C02CA">
      <w:pPr>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iCs/>
          <w:lang w:val="en-US"/>
        </w:rPr>
      </w:pPr>
      <w:r w:rsidRPr="008D6F7D">
        <w:rPr>
          <w:bCs/>
          <w:iCs/>
        </w:rPr>
        <w:t>That</w:t>
      </w:r>
      <w:r w:rsidRPr="008D6F7D">
        <w:rPr>
          <w:iCs/>
        </w:rPr>
        <w:t xml:space="preserve"> the council will continue to support its wholly owned leisure services company, which was established on 1 September 2021. Whilst the leisure market remains extremely challenging, it is expected that this cost to the </w:t>
      </w:r>
      <w:r w:rsidRPr="008D6F7D">
        <w:rPr>
          <w:iCs/>
        </w:rPr>
        <w:lastRenderedPageBreak/>
        <w:t xml:space="preserve">council will cease over the medium-term as the company </w:t>
      </w:r>
      <w:r w:rsidRPr="000A7C29">
        <w:rPr>
          <w:iCs/>
        </w:rPr>
        <w:t xml:space="preserve">develops its services to fully cover its own costs. Officers, as part of the company’s board, will develop a business plan </w:t>
      </w:r>
      <w:r>
        <w:rPr>
          <w:iCs/>
        </w:rPr>
        <w:t xml:space="preserve">for </w:t>
      </w:r>
      <w:r w:rsidRPr="000A7C29">
        <w:rPr>
          <w:iCs/>
        </w:rPr>
        <w:t xml:space="preserve">Cabinet to approve on behalf of Full Council. This will set out the plan for the reduction of costs over the coming years. </w:t>
      </w:r>
      <w:r w:rsidRPr="000A7C29">
        <w:rPr>
          <w:iCs/>
          <w:lang w:val="en-US"/>
        </w:rPr>
        <w:t xml:space="preserve">The forecast position </w:t>
      </w:r>
      <w:r w:rsidRPr="008D6F7D">
        <w:rPr>
          <w:iCs/>
          <w:lang w:val="en-US"/>
        </w:rPr>
        <w:t xml:space="preserve">reflected in this budget, is that the financial support from the Council to the Leisure company will reduce from </w:t>
      </w:r>
      <w:r w:rsidRPr="00D1486B">
        <w:rPr>
          <w:iCs/>
          <w:lang w:val="en-US"/>
        </w:rPr>
        <w:t xml:space="preserve">£583k in </w:t>
      </w:r>
      <w:r>
        <w:rPr>
          <w:iCs/>
          <w:lang w:val="en-US"/>
        </w:rPr>
        <w:t>20</w:t>
      </w:r>
      <w:r w:rsidRPr="00D1486B">
        <w:rPr>
          <w:iCs/>
          <w:lang w:val="en-US"/>
        </w:rPr>
        <w:t>22/23 to £357k</w:t>
      </w:r>
      <w:r w:rsidRPr="008D6F7D">
        <w:rPr>
          <w:iCs/>
          <w:lang w:val="en-US"/>
        </w:rPr>
        <w:t xml:space="preserve"> in </w:t>
      </w:r>
      <w:r>
        <w:rPr>
          <w:iCs/>
          <w:lang w:val="en-US"/>
        </w:rPr>
        <w:t>20</w:t>
      </w:r>
      <w:r w:rsidRPr="008D6F7D">
        <w:rPr>
          <w:iCs/>
          <w:lang w:val="en-US"/>
        </w:rPr>
        <w:t xml:space="preserve">23/24; the will mean that by </w:t>
      </w:r>
      <w:r>
        <w:rPr>
          <w:iCs/>
          <w:lang w:val="en-US"/>
        </w:rPr>
        <w:t>20</w:t>
      </w:r>
      <w:r w:rsidRPr="008D6F7D">
        <w:rPr>
          <w:iCs/>
          <w:lang w:val="en-US"/>
        </w:rPr>
        <w:t xml:space="preserve">23/24 the support provided by the Council will be £110k less than that previously paid to the Serco/Leisure Trust partnership.  Whilst ambitious, given the national closure of leisure </w:t>
      </w:r>
      <w:proofErr w:type="spellStart"/>
      <w:r w:rsidRPr="008D6F7D">
        <w:rPr>
          <w:iCs/>
          <w:lang w:val="en-US"/>
        </w:rPr>
        <w:t>centres</w:t>
      </w:r>
      <w:proofErr w:type="spellEnd"/>
      <w:r w:rsidRPr="008D6F7D">
        <w:rPr>
          <w:iCs/>
          <w:lang w:val="en-US"/>
        </w:rPr>
        <w:t xml:space="preserve"> during </w:t>
      </w:r>
      <w:proofErr w:type="spellStart"/>
      <w:r w:rsidRPr="008D6F7D">
        <w:rPr>
          <w:iCs/>
          <w:lang w:val="en-US"/>
        </w:rPr>
        <w:t>Covid</w:t>
      </w:r>
      <w:proofErr w:type="spellEnd"/>
      <w:r w:rsidRPr="008D6F7D">
        <w:rPr>
          <w:iCs/>
          <w:lang w:val="en-US"/>
        </w:rPr>
        <w:t xml:space="preserve"> 19 and the resulting falls in membership, it is felt that this is an achievable target and the company will work to get to a position in which it is financially self-sufficient.</w:t>
      </w:r>
      <w:r>
        <w:rPr>
          <w:iCs/>
          <w:lang w:val="en-US"/>
        </w:rPr>
        <w:t xml:space="preserve"> </w:t>
      </w:r>
    </w:p>
    <w:p w14:paraId="050B96E2" w14:textId="77777777" w:rsidR="003C02CA" w:rsidRPr="002707E5" w:rsidRDefault="003C02CA" w:rsidP="003C02CA">
      <w:pPr>
        <w:pStyle w:val="ListParagraph"/>
        <w:rPr>
          <w:highlight w:val="yellow"/>
        </w:rPr>
      </w:pPr>
    </w:p>
    <w:p w14:paraId="28A802FE" w14:textId="77777777" w:rsidR="003C02CA" w:rsidRPr="00AC75A5"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rPr>
          <w:rFonts w:ascii="Arial" w:hAnsi="Arial" w:cs="Arial"/>
          <w:color w:val="FFFFFF" w:themeColor="background1"/>
          <w:sz w:val="24"/>
          <w:szCs w:val="24"/>
        </w:rPr>
      </w:pPr>
      <w:r w:rsidRPr="00AC75A5">
        <w:rPr>
          <w:rFonts w:ascii="Arial" w:hAnsi="Arial" w:cs="Arial"/>
          <w:color w:val="FFFFFF" w:themeColor="background1"/>
          <w:sz w:val="24"/>
          <w:szCs w:val="24"/>
        </w:rPr>
        <w:t>BUDGET DEFICIT</w:t>
      </w:r>
    </w:p>
    <w:p w14:paraId="5087882A" w14:textId="77777777" w:rsidR="003C02CA" w:rsidRDefault="003C02CA" w:rsidP="003C02CA">
      <w:pPr>
        <w:pBdr>
          <w:top w:val="single" w:sz="2" w:space="1" w:color="FFFFFF"/>
          <w:left w:val="single" w:sz="2" w:space="0" w:color="FFFFFF"/>
          <w:bottom w:val="single" w:sz="2" w:space="2" w:color="FFFFFF"/>
          <w:right w:val="single" w:sz="2" w:space="4" w:color="FFFFFF"/>
        </w:pBdr>
        <w:spacing w:after="0" w:line="240" w:lineRule="auto"/>
        <w:jc w:val="both"/>
      </w:pPr>
    </w:p>
    <w:p w14:paraId="7A7F8E71" w14:textId="77777777" w:rsidR="003C02CA" w:rsidRPr="00CA0113"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pPr>
      <w:r w:rsidRPr="00CA0113">
        <w:t xml:space="preserve">The </w:t>
      </w:r>
      <w:r>
        <w:t>C</w:t>
      </w:r>
      <w:r w:rsidRPr="00CA0113">
        <w:t xml:space="preserve">ouncil’s </w:t>
      </w:r>
      <w:r>
        <w:t xml:space="preserve">total budget deficit is summarised </w:t>
      </w:r>
      <w:r w:rsidRPr="00CA0113">
        <w:t xml:space="preserve">in </w:t>
      </w:r>
      <w:r>
        <w:t>T</w:t>
      </w:r>
      <w:r w:rsidRPr="00CA0113">
        <w:t xml:space="preserve">able 1 </w:t>
      </w:r>
      <w:r>
        <w:t xml:space="preserve">below </w:t>
      </w:r>
      <w:r w:rsidRPr="00CA0113">
        <w:t xml:space="preserve">and is based upon the </w:t>
      </w:r>
      <w:r>
        <w:t xml:space="preserve">key elements of </w:t>
      </w:r>
      <w:r w:rsidRPr="00CA0113">
        <w:t xml:space="preserve">funding </w:t>
      </w:r>
      <w:r>
        <w:t xml:space="preserve">and expenditure </w:t>
      </w:r>
      <w:r w:rsidRPr="00CA0113">
        <w:t>described above</w:t>
      </w:r>
      <w:r>
        <w:t>,</w:t>
      </w:r>
      <w:r w:rsidRPr="00CA0113">
        <w:t xml:space="preserve"> and the</w:t>
      </w:r>
      <w:r>
        <w:t xml:space="preserve"> </w:t>
      </w:r>
      <w:r w:rsidRPr="00CA0113">
        <w:t>budget assumptions</w:t>
      </w:r>
      <w:r>
        <w:t xml:space="preserve"> outlined below</w:t>
      </w:r>
      <w:r w:rsidRPr="00CA0113">
        <w:t xml:space="preserve">. </w:t>
      </w:r>
    </w:p>
    <w:p w14:paraId="0A88876E"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ind w:left="567"/>
        <w:rPr>
          <w:highlight w:val="yellow"/>
        </w:rPr>
      </w:pPr>
    </w:p>
    <w:p w14:paraId="32C03C89" w14:textId="77777777" w:rsidR="003C02CA" w:rsidRPr="00524BEE" w:rsidRDefault="003C02CA" w:rsidP="003C02CA">
      <w:pPr>
        <w:pBdr>
          <w:top w:val="single" w:sz="2" w:space="1" w:color="FFFFFF"/>
          <w:left w:val="single" w:sz="2" w:space="0" w:color="FFFFFF"/>
          <w:bottom w:val="single" w:sz="2" w:space="0" w:color="FFFFFF"/>
          <w:right w:val="single" w:sz="2" w:space="4" w:color="FFFFFF"/>
        </w:pBdr>
        <w:tabs>
          <w:tab w:val="left" w:pos="567"/>
        </w:tabs>
        <w:ind w:right="141"/>
        <w:rPr>
          <w:bCs/>
          <w:iCs/>
          <w:u w:val="single"/>
        </w:rPr>
      </w:pPr>
      <w:r w:rsidRPr="00524BEE">
        <w:rPr>
          <w:bCs/>
          <w:iCs/>
          <w:u w:val="single"/>
        </w:rPr>
        <w:t>Table 1: Total Budget Deficit</w:t>
      </w:r>
    </w:p>
    <w:p w14:paraId="13DF28BE" w14:textId="77777777" w:rsidR="003C02CA" w:rsidRPr="00CA0113" w:rsidRDefault="003C02CA" w:rsidP="003C02CA">
      <w:pPr>
        <w:spacing w:after="0"/>
        <w:rPr>
          <w:rFonts w:ascii="Arial" w:hAnsi="Arial" w:cs="Arial"/>
          <w:sz w:val="12"/>
          <w:szCs w:val="12"/>
          <w:highlight w:val="yellow"/>
        </w:rPr>
      </w:pPr>
    </w:p>
    <w:tbl>
      <w:tblPr>
        <w:tblW w:w="6800" w:type="dxa"/>
        <w:tblInd w:w="606" w:type="dxa"/>
        <w:tblLook w:val="04A0" w:firstRow="1" w:lastRow="0" w:firstColumn="1" w:lastColumn="0" w:noHBand="0" w:noVBand="1"/>
      </w:tblPr>
      <w:tblGrid>
        <w:gridCol w:w="3596"/>
        <w:gridCol w:w="1132"/>
        <w:gridCol w:w="1036"/>
        <w:gridCol w:w="1036"/>
      </w:tblGrid>
      <w:tr w:rsidR="003C02CA" w:rsidRPr="00524BEE" w14:paraId="6288C182" w14:textId="77777777" w:rsidTr="002F7BAE">
        <w:trPr>
          <w:trHeight w:val="300"/>
        </w:trPr>
        <w:tc>
          <w:tcPr>
            <w:tcW w:w="3596" w:type="dxa"/>
            <w:vMerge w:val="restart"/>
            <w:tcBorders>
              <w:top w:val="nil"/>
              <w:left w:val="nil"/>
              <w:bottom w:val="single" w:sz="8" w:space="0" w:color="000000"/>
              <w:right w:val="single" w:sz="8" w:space="0" w:color="auto"/>
            </w:tcBorders>
            <w:shd w:val="clear" w:color="000000" w:fill="FFFFFF"/>
            <w:vAlign w:val="center"/>
            <w:hideMark/>
          </w:tcPr>
          <w:p w14:paraId="732AB3BF" w14:textId="77777777" w:rsidR="003C02CA" w:rsidRPr="00524BEE" w:rsidRDefault="003C02CA" w:rsidP="002F7BAE">
            <w:pPr>
              <w:rPr>
                <w:rFonts w:cs="Arial"/>
                <w:b/>
                <w:bCs/>
                <w:color w:val="000000"/>
                <w:lang w:eastAsia="en-GB"/>
              </w:rPr>
            </w:pPr>
            <w:r w:rsidRPr="00524BEE">
              <w:rPr>
                <w:rFonts w:ascii="Arial" w:hAnsi="Arial" w:cs="Arial"/>
                <w:b/>
                <w:bCs/>
                <w:color w:val="000000"/>
              </w:rPr>
              <w:t> </w:t>
            </w:r>
          </w:p>
        </w:tc>
        <w:tc>
          <w:tcPr>
            <w:tcW w:w="1132" w:type="dxa"/>
            <w:tcBorders>
              <w:top w:val="single" w:sz="8" w:space="0" w:color="auto"/>
              <w:left w:val="nil"/>
              <w:bottom w:val="nil"/>
              <w:right w:val="single" w:sz="8" w:space="0" w:color="auto"/>
            </w:tcBorders>
            <w:shd w:val="clear" w:color="auto" w:fill="548DD4" w:themeFill="text2" w:themeFillTint="99"/>
            <w:vAlign w:val="center"/>
            <w:hideMark/>
          </w:tcPr>
          <w:p w14:paraId="483EA577" w14:textId="77777777" w:rsidR="003C02CA" w:rsidRPr="00524BEE" w:rsidRDefault="003C02CA" w:rsidP="002F7BAE">
            <w:pPr>
              <w:jc w:val="center"/>
              <w:rPr>
                <w:rFonts w:cs="Arial"/>
                <w:b/>
                <w:bCs/>
                <w:color w:val="FFFFFF"/>
                <w:lang w:eastAsia="en-GB"/>
              </w:rPr>
            </w:pPr>
            <w:r w:rsidRPr="00524BEE">
              <w:rPr>
                <w:rFonts w:ascii="Arial" w:hAnsi="Arial" w:cs="Arial"/>
                <w:b/>
                <w:bCs/>
                <w:color w:val="FFFFFF"/>
              </w:rPr>
              <w:t>2022/23</w:t>
            </w:r>
          </w:p>
        </w:tc>
        <w:tc>
          <w:tcPr>
            <w:tcW w:w="1036" w:type="dxa"/>
            <w:tcBorders>
              <w:top w:val="single" w:sz="8" w:space="0" w:color="auto"/>
              <w:left w:val="nil"/>
              <w:bottom w:val="nil"/>
              <w:right w:val="single" w:sz="8" w:space="0" w:color="auto"/>
            </w:tcBorders>
            <w:shd w:val="clear" w:color="auto" w:fill="548DD4" w:themeFill="text2" w:themeFillTint="99"/>
            <w:vAlign w:val="center"/>
            <w:hideMark/>
          </w:tcPr>
          <w:p w14:paraId="265EA278" w14:textId="77777777" w:rsidR="003C02CA" w:rsidRPr="00524BEE" w:rsidRDefault="003C02CA" w:rsidP="002F7BAE">
            <w:pPr>
              <w:jc w:val="center"/>
              <w:rPr>
                <w:rFonts w:cs="Arial"/>
                <w:b/>
                <w:bCs/>
                <w:color w:val="FFFFFF"/>
                <w:lang w:eastAsia="en-GB"/>
              </w:rPr>
            </w:pPr>
            <w:r w:rsidRPr="00524BEE">
              <w:rPr>
                <w:rFonts w:ascii="Arial" w:hAnsi="Arial" w:cs="Arial"/>
                <w:b/>
                <w:bCs/>
                <w:color w:val="FFFFFF"/>
              </w:rPr>
              <w:t>2023/24</w:t>
            </w:r>
          </w:p>
        </w:tc>
        <w:tc>
          <w:tcPr>
            <w:tcW w:w="1036" w:type="dxa"/>
            <w:tcBorders>
              <w:top w:val="single" w:sz="8" w:space="0" w:color="auto"/>
              <w:left w:val="nil"/>
              <w:bottom w:val="nil"/>
              <w:right w:val="single" w:sz="8" w:space="0" w:color="auto"/>
            </w:tcBorders>
            <w:shd w:val="clear" w:color="auto" w:fill="548DD4" w:themeFill="text2" w:themeFillTint="99"/>
            <w:vAlign w:val="center"/>
            <w:hideMark/>
          </w:tcPr>
          <w:p w14:paraId="178BA013" w14:textId="77777777" w:rsidR="003C02CA" w:rsidRPr="00524BEE" w:rsidRDefault="003C02CA" w:rsidP="002F7BAE">
            <w:pPr>
              <w:jc w:val="center"/>
              <w:rPr>
                <w:rFonts w:cs="Arial"/>
                <w:b/>
                <w:bCs/>
                <w:color w:val="FFFFFF"/>
                <w:lang w:eastAsia="en-GB"/>
              </w:rPr>
            </w:pPr>
            <w:r w:rsidRPr="00524BEE">
              <w:rPr>
                <w:rFonts w:ascii="Arial" w:hAnsi="Arial" w:cs="Arial"/>
                <w:b/>
                <w:bCs/>
                <w:color w:val="FFFFFF"/>
              </w:rPr>
              <w:t>2024/25</w:t>
            </w:r>
          </w:p>
        </w:tc>
      </w:tr>
      <w:tr w:rsidR="003C02CA" w:rsidRPr="00524BEE" w14:paraId="000E7A6D" w14:textId="77777777" w:rsidTr="002F7BAE">
        <w:trPr>
          <w:trHeight w:val="315"/>
        </w:trPr>
        <w:tc>
          <w:tcPr>
            <w:tcW w:w="3596" w:type="dxa"/>
            <w:vMerge/>
            <w:tcBorders>
              <w:top w:val="nil"/>
              <w:left w:val="nil"/>
              <w:bottom w:val="single" w:sz="8" w:space="0" w:color="000000"/>
              <w:right w:val="single" w:sz="8" w:space="0" w:color="auto"/>
            </w:tcBorders>
            <w:vAlign w:val="center"/>
            <w:hideMark/>
          </w:tcPr>
          <w:p w14:paraId="33747271" w14:textId="77777777" w:rsidR="003C02CA" w:rsidRPr="00524BEE" w:rsidRDefault="003C02CA" w:rsidP="002F7BAE">
            <w:pPr>
              <w:rPr>
                <w:rFonts w:cs="Arial"/>
                <w:b/>
                <w:bCs/>
                <w:color w:val="000000"/>
                <w:lang w:eastAsia="en-GB"/>
              </w:rPr>
            </w:pPr>
          </w:p>
        </w:tc>
        <w:tc>
          <w:tcPr>
            <w:tcW w:w="1132" w:type="dxa"/>
            <w:tcBorders>
              <w:top w:val="nil"/>
              <w:left w:val="nil"/>
              <w:bottom w:val="single" w:sz="8" w:space="0" w:color="auto"/>
              <w:right w:val="single" w:sz="8" w:space="0" w:color="auto"/>
            </w:tcBorders>
            <w:shd w:val="clear" w:color="auto" w:fill="548DD4" w:themeFill="text2" w:themeFillTint="99"/>
            <w:vAlign w:val="center"/>
            <w:hideMark/>
          </w:tcPr>
          <w:p w14:paraId="15572734" w14:textId="77777777" w:rsidR="003C02CA" w:rsidRPr="00524BEE" w:rsidRDefault="003C02CA" w:rsidP="002F7BAE">
            <w:pPr>
              <w:jc w:val="center"/>
              <w:rPr>
                <w:rFonts w:cs="Arial"/>
                <w:b/>
                <w:bCs/>
                <w:color w:val="FFFFFF"/>
                <w:lang w:eastAsia="en-GB"/>
              </w:rPr>
            </w:pPr>
            <w:r w:rsidRPr="00524BEE">
              <w:rPr>
                <w:rFonts w:ascii="Arial" w:hAnsi="Arial" w:cs="Arial"/>
                <w:b/>
                <w:bCs/>
                <w:color w:val="FFFFFF"/>
              </w:rPr>
              <w:t>£m</w:t>
            </w:r>
          </w:p>
        </w:tc>
        <w:tc>
          <w:tcPr>
            <w:tcW w:w="1036" w:type="dxa"/>
            <w:tcBorders>
              <w:top w:val="nil"/>
              <w:left w:val="nil"/>
              <w:bottom w:val="single" w:sz="8" w:space="0" w:color="auto"/>
              <w:right w:val="single" w:sz="8" w:space="0" w:color="auto"/>
            </w:tcBorders>
            <w:shd w:val="clear" w:color="auto" w:fill="548DD4" w:themeFill="text2" w:themeFillTint="99"/>
            <w:vAlign w:val="center"/>
            <w:hideMark/>
          </w:tcPr>
          <w:p w14:paraId="4B87BAAD" w14:textId="77777777" w:rsidR="003C02CA" w:rsidRPr="00524BEE" w:rsidRDefault="003C02CA" w:rsidP="002F7BAE">
            <w:pPr>
              <w:jc w:val="center"/>
              <w:rPr>
                <w:rFonts w:cs="Arial"/>
                <w:b/>
                <w:bCs/>
                <w:color w:val="FFFFFF"/>
                <w:lang w:eastAsia="en-GB"/>
              </w:rPr>
            </w:pPr>
            <w:r w:rsidRPr="00524BEE">
              <w:rPr>
                <w:rFonts w:ascii="Arial" w:hAnsi="Arial" w:cs="Arial"/>
                <w:b/>
                <w:bCs/>
                <w:color w:val="FFFFFF"/>
              </w:rPr>
              <w:t>£m</w:t>
            </w:r>
          </w:p>
        </w:tc>
        <w:tc>
          <w:tcPr>
            <w:tcW w:w="1036" w:type="dxa"/>
            <w:tcBorders>
              <w:top w:val="nil"/>
              <w:left w:val="nil"/>
              <w:bottom w:val="single" w:sz="8" w:space="0" w:color="auto"/>
              <w:right w:val="single" w:sz="8" w:space="0" w:color="auto"/>
            </w:tcBorders>
            <w:shd w:val="clear" w:color="auto" w:fill="548DD4" w:themeFill="text2" w:themeFillTint="99"/>
            <w:vAlign w:val="center"/>
            <w:hideMark/>
          </w:tcPr>
          <w:p w14:paraId="31114EF2" w14:textId="77777777" w:rsidR="003C02CA" w:rsidRPr="00524BEE" w:rsidRDefault="003C02CA" w:rsidP="002F7BAE">
            <w:pPr>
              <w:jc w:val="center"/>
              <w:rPr>
                <w:rFonts w:cs="Arial"/>
                <w:b/>
                <w:bCs/>
                <w:color w:val="FFFFFF"/>
                <w:lang w:eastAsia="en-GB"/>
              </w:rPr>
            </w:pPr>
            <w:r w:rsidRPr="00524BEE">
              <w:rPr>
                <w:rFonts w:ascii="Arial" w:hAnsi="Arial" w:cs="Arial"/>
                <w:b/>
                <w:bCs/>
                <w:color w:val="FFFFFF"/>
              </w:rPr>
              <w:t>£m</w:t>
            </w:r>
          </w:p>
        </w:tc>
      </w:tr>
      <w:tr w:rsidR="003C02CA" w:rsidRPr="00524BEE" w14:paraId="47896574" w14:textId="77777777" w:rsidTr="002F7BAE">
        <w:trPr>
          <w:trHeight w:val="497"/>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467B5946" w14:textId="77777777" w:rsidR="003C02CA" w:rsidRPr="00524BEE" w:rsidRDefault="003C02CA" w:rsidP="002F7BAE">
            <w:pPr>
              <w:spacing w:after="0"/>
              <w:rPr>
                <w:rFonts w:cs="Arial"/>
                <w:color w:val="000000"/>
                <w:lang w:eastAsia="en-GB"/>
              </w:rPr>
            </w:pPr>
            <w:r w:rsidRPr="00524BEE">
              <w:rPr>
                <w:rFonts w:ascii="Arial" w:hAnsi="Arial" w:cs="Arial"/>
                <w:color w:val="000000"/>
              </w:rPr>
              <w:t xml:space="preserve">Council Tax </w:t>
            </w:r>
          </w:p>
        </w:tc>
        <w:tc>
          <w:tcPr>
            <w:tcW w:w="1132" w:type="dxa"/>
            <w:tcBorders>
              <w:top w:val="nil"/>
              <w:left w:val="nil"/>
              <w:bottom w:val="single" w:sz="8" w:space="0" w:color="auto"/>
              <w:right w:val="single" w:sz="8" w:space="0" w:color="auto"/>
            </w:tcBorders>
            <w:shd w:val="clear" w:color="auto" w:fill="auto"/>
            <w:vAlign w:val="center"/>
          </w:tcPr>
          <w:p w14:paraId="051CBCAF"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(8.599)</w:t>
            </w:r>
          </w:p>
        </w:tc>
        <w:tc>
          <w:tcPr>
            <w:tcW w:w="1036" w:type="dxa"/>
            <w:tcBorders>
              <w:top w:val="nil"/>
              <w:left w:val="nil"/>
              <w:bottom w:val="single" w:sz="8" w:space="0" w:color="auto"/>
              <w:right w:val="single" w:sz="8" w:space="0" w:color="auto"/>
            </w:tcBorders>
            <w:shd w:val="clear" w:color="auto" w:fill="auto"/>
            <w:vAlign w:val="center"/>
          </w:tcPr>
          <w:p w14:paraId="3A7F360E"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(8.599)</w:t>
            </w:r>
          </w:p>
        </w:tc>
        <w:tc>
          <w:tcPr>
            <w:tcW w:w="1036" w:type="dxa"/>
            <w:tcBorders>
              <w:top w:val="nil"/>
              <w:left w:val="nil"/>
              <w:bottom w:val="single" w:sz="8" w:space="0" w:color="auto"/>
              <w:right w:val="single" w:sz="8" w:space="0" w:color="auto"/>
            </w:tcBorders>
            <w:shd w:val="clear" w:color="auto" w:fill="auto"/>
            <w:vAlign w:val="center"/>
          </w:tcPr>
          <w:p w14:paraId="3D497E91"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(8.599)</w:t>
            </w:r>
          </w:p>
        </w:tc>
      </w:tr>
      <w:tr w:rsidR="003C02CA" w:rsidRPr="00524BEE" w14:paraId="384E4371" w14:textId="77777777" w:rsidTr="002F7BAE">
        <w:trPr>
          <w:trHeight w:val="459"/>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7D05F8BD" w14:textId="77777777" w:rsidR="003C02CA" w:rsidRPr="00524BEE" w:rsidRDefault="003C02CA" w:rsidP="002F7BAE">
            <w:pPr>
              <w:spacing w:after="0"/>
              <w:rPr>
                <w:rFonts w:cs="Arial"/>
                <w:color w:val="000000"/>
                <w:lang w:eastAsia="en-GB"/>
              </w:rPr>
            </w:pPr>
            <w:r w:rsidRPr="00524BEE">
              <w:rPr>
                <w:rFonts w:ascii="Arial" w:hAnsi="Arial" w:cs="Arial"/>
                <w:color w:val="000000"/>
              </w:rPr>
              <w:t>Retained Business Rates</w:t>
            </w:r>
          </w:p>
        </w:tc>
        <w:tc>
          <w:tcPr>
            <w:tcW w:w="1132" w:type="dxa"/>
            <w:tcBorders>
              <w:top w:val="nil"/>
              <w:left w:val="nil"/>
              <w:bottom w:val="single" w:sz="8" w:space="0" w:color="auto"/>
              <w:right w:val="single" w:sz="8" w:space="0" w:color="auto"/>
            </w:tcBorders>
            <w:shd w:val="clear" w:color="auto" w:fill="auto"/>
            <w:vAlign w:val="center"/>
          </w:tcPr>
          <w:p w14:paraId="6924768D"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(5.</w:t>
            </w:r>
            <w:r>
              <w:rPr>
                <w:rFonts w:ascii="Arial" w:hAnsi="Arial" w:cs="Arial"/>
                <w:color w:val="FF0000"/>
              </w:rPr>
              <w:t>969</w:t>
            </w:r>
            <w:r w:rsidRPr="002707E5">
              <w:rPr>
                <w:rFonts w:ascii="Arial" w:hAnsi="Arial" w:cs="Arial"/>
                <w:color w:val="FF0000"/>
              </w:rPr>
              <w:t>)</w:t>
            </w:r>
          </w:p>
        </w:tc>
        <w:tc>
          <w:tcPr>
            <w:tcW w:w="1036" w:type="dxa"/>
            <w:tcBorders>
              <w:top w:val="nil"/>
              <w:left w:val="nil"/>
              <w:bottom w:val="single" w:sz="8" w:space="0" w:color="auto"/>
              <w:right w:val="single" w:sz="8" w:space="0" w:color="auto"/>
            </w:tcBorders>
            <w:shd w:val="clear" w:color="auto" w:fill="auto"/>
            <w:vAlign w:val="center"/>
          </w:tcPr>
          <w:p w14:paraId="36E4DDDC"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(5.</w:t>
            </w:r>
            <w:r>
              <w:rPr>
                <w:rFonts w:ascii="Arial" w:hAnsi="Arial" w:cs="Arial"/>
                <w:color w:val="FF0000"/>
              </w:rPr>
              <w:t>969</w:t>
            </w:r>
            <w:r w:rsidRPr="002707E5">
              <w:rPr>
                <w:rFonts w:ascii="Arial" w:hAnsi="Arial" w:cs="Arial"/>
                <w:color w:val="FF0000"/>
              </w:rPr>
              <w:t>)</w:t>
            </w:r>
          </w:p>
        </w:tc>
        <w:tc>
          <w:tcPr>
            <w:tcW w:w="1036" w:type="dxa"/>
            <w:tcBorders>
              <w:top w:val="nil"/>
              <w:left w:val="nil"/>
              <w:bottom w:val="single" w:sz="8" w:space="0" w:color="auto"/>
              <w:right w:val="single" w:sz="8" w:space="0" w:color="auto"/>
            </w:tcBorders>
            <w:shd w:val="clear" w:color="auto" w:fill="auto"/>
            <w:vAlign w:val="center"/>
          </w:tcPr>
          <w:p w14:paraId="05200436"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(5.</w:t>
            </w:r>
            <w:r>
              <w:rPr>
                <w:rFonts w:ascii="Arial" w:hAnsi="Arial" w:cs="Arial"/>
                <w:color w:val="FF0000"/>
              </w:rPr>
              <w:t>969</w:t>
            </w:r>
            <w:r w:rsidRPr="002707E5">
              <w:rPr>
                <w:rFonts w:ascii="Arial" w:hAnsi="Arial" w:cs="Arial"/>
                <w:color w:val="FF0000"/>
              </w:rPr>
              <w:t>)</w:t>
            </w:r>
          </w:p>
        </w:tc>
      </w:tr>
      <w:tr w:rsidR="003C02CA" w:rsidRPr="00524BEE" w14:paraId="559D26DF" w14:textId="77777777" w:rsidTr="002F7BAE">
        <w:trPr>
          <w:trHeight w:val="300"/>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2D7E05E4" w14:textId="77777777" w:rsidR="003C02CA" w:rsidRPr="00524BEE" w:rsidRDefault="003C02CA" w:rsidP="002F7BAE">
            <w:pPr>
              <w:spacing w:after="0"/>
              <w:rPr>
                <w:rFonts w:cs="Arial"/>
                <w:color w:val="000000"/>
                <w:lang w:eastAsia="en-GB"/>
              </w:rPr>
            </w:pPr>
            <w:r w:rsidRPr="00274F1A">
              <w:rPr>
                <w:rFonts w:ascii="Arial" w:hAnsi="Arial" w:cs="Arial"/>
                <w:color w:val="000000"/>
              </w:rPr>
              <w:t>Lower Tier Services Grant and Services Grant</w:t>
            </w:r>
            <w:r>
              <w:rPr>
                <w:rFonts w:ascii="Arial" w:hAnsi="Arial" w:cs="Arial"/>
                <w:color w:val="000000"/>
              </w:rPr>
              <w:t xml:space="preserve"> </w:t>
            </w:r>
          </w:p>
        </w:tc>
        <w:tc>
          <w:tcPr>
            <w:tcW w:w="1132" w:type="dxa"/>
            <w:tcBorders>
              <w:top w:val="nil"/>
              <w:left w:val="nil"/>
              <w:bottom w:val="single" w:sz="8" w:space="0" w:color="auto"/>
              <w:right w:val="single" w:sz="8" w:space="0" w:color="auto"/>
            </w:tcBorders>
            <w:shd w:val="clear" w:color="auto" w:fill="auto"/>
            <w:vAlign w:val="center"/>
          </w:tcPr>
          <w:p w14:paraId="56B4CC60"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(0.26</w:t>
            </w:r>
            <w:r>
              <w:rPr>
                <w:rFonts w:ascii="Arial" w:hAnsi="Arial" w:cs="Arial"/>
                <w:color w:val="FF0000"/>
              </w:rPr>
              <w:t>9</w:t>
            </w:r>
            <w:r w:rsidRPr="002707E5">
              <w:rPr>
                <w:rFonts w:ascii="Arial" w:hAnsi="Arial" w:cs="Arial"/>
                <w:color w:val="FF0000"/>
              </w:rPr>
              <w:t>)</w:t>
            </w:r>
          </w:p>
        </w:tc>
        <w:tc>
          <w:tcPr>
            <w:tcW w:w="1036" w:type="dxa"/>
            <w:tcBorders>
              <w:top w:val="nil"/>
              <w:left w:val="nil"/>
              <w:bottom w:val="single" w:sz="8" w:space="0" w:color="auto"/>
              <w:right w:val="single" w:sz="8" w:space="0" w:color="auto"/>
            </w:tcBorders>
            <w:shd w:val="clear" w:color="auto" w:fill="auto"/>
            <w:vAlign w:val="center"/>
          </w:tcPr>
          <w:p w14:paraId="711162D4"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(0.000)</w:t>
            </w:r>
          </w:p>
        </w:tc>
        <w:tc>
          <w:tcPr>
            <w:tcW w:w="1036" w:type="dxa"/>
            <w:tcBorders>
              <w:top w:val="nil"/>
              <w:left w:val="nil"/>
              <w:bottom w:val="single" w:sz="8" w:space="0" w:color="auto"/>
              <w:right w:val="single" w:sz="8" w:space="0" w:color="auto"/>
            </w:tcBorders>
            <w:shd w:val="clear" w:color="auto" w:fill="auto"/>
            <w:vAlign w:val="center"/>
          </w:tcPr>
          <w:p w14:paraId="430944B2"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(0.000) </w:t>
            </w:r>
          </w:p>
        </w:tc>
      </w:tr>
      <w:tr w:rsidR="003C02CA" w:rsidRPr="00524BEE" w14:paraId="02ED20B0" w14:textId="77777777" w:rsidTr="002F7BAE">
        <w:trPr>
          <w:trHeight w:val="325"/>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08E91A6C" w14:textId="77777777" w:rsidR="003C02CA" w:rsidRPr="00524BEE" w:rsidRDefault="003C02CA" w:rsidP="002F7BAE">
            <w:pPr>
              <w:spacing w:after="0"/>
              <w:rPr>
                <w:rFonts w:cs="Arial"/>
                <w:color w:val="000000"/>
                <w:lang w:eastAsia="en-GB"/>
              </w:rPr>
            </w:pPr>
            <w:r w:rsidRPr="00524BEE">
              <w:rPr>
                <w:rFonts w:ascii="Arial" w:hAnsi="Arial" w:cs="Arial"/>
                <w:color w:val="000000"/>
              </w:rPr>
              <w:t xml:space="preserve">New Homes Bonus </w:t>
            </w:r>
          </w:p>
        </w:tc>
        <w:tc>
          <w:tcPr>
            <w:tcW w:w="1132" w:type="dxa"/>
            <w:tcBorders>
              <w:top w:val="nil"/>
              <w:left w:val="nil"/>
              <w:bottom w:val="single" w:sz="8" w:space="0" w:color="auto"/>
              <w:right w:val="single" w:sz="8" w:space="0" w:color="auto"/>
            </w:tcBorders>
            <w:shd w:val="clear" w:color="auto" w:fill="auto"/>
            <w:vAlign w:val="center"/>
          </w:tcPr>
          <w:p w14:paraId="71A759CD"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(0.802)</w:t>
            </w:r>
          </w:p>
        </w:tc>
        <w:tc>
          <w:tcPr>
            <w:tcW w:w="1036" w:type="dxa"/>
            <w:tcBorders>
              <w:top w:val="nil"/>
              <w:left w:val="nil"/>
              <w:bottom w:val="single" w:sz="8" w:space="0" w:color="auto"/>
              <w:right w:val="single" w:sz="8" w:space="0" w:color="auto"/>
            </w:tcBorders>
            <w:shd w:val="clear" w:color="auto" w:fill="auto"/>
            <w:vAlign w:val="center"/>
          </w:tcPr>
          <w:p w14:paraId="3C2D12FF"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(0.000)</w:t>
            </w:r>
          </w:p>
        </w:tc>
        <w:tc>
          <w:tcPr>
            <w:tcW w:w="1036" w:type="dxa"/>
            <w:tcBorders>
              <w:top w:val="nil"/>
              <w:left w:val="nil"/>
              <w:bottom w:val="single" w:sz="8" w:space="0" w:color="auto"/>
              <w:right w:val="single" w:sz="8" w:space="0" w:color="auto"/>
            </w:tcBorders>
            <w:shd w:val="clear" w:color="auto" w:fill="auto"/>
            <w:vAlign w:val="center"/>
          </w:tcPr>
          <w:p w14:paraId="283E8E7D" w14:textId="77777777" w:rsidR="003C02CA" w:rsidRPr="002707E5" w:rsidRDefault="003C02CA" w:rsidP="002F7BAE">
            <w:pPr>
              <w:spacing w:after="0"/>
              <w:jc w:val="right"/>
              <w:rPr>
                <w:rFonts w:cs="Arial"/>
                <w:color w:val="FF0000"/>
                <w:lang w:eastAsia="en-GB"/>
              </w:rPr>
            </w:pPr>
            <w:r w:rsidRPr="002707E5">
              <w:rPr>
                <w:rFonts w:ascii="Arial" w:hAnsi="Arial" w:cs="Arial"/>
                <w:color w:val="FF0000"/>
              </w:rPr>
              <w:t>(0.000) </w:t>
            </w:r>
          </w:p>
        </w:tc>
      </w:tr>
      <w:tr w:rsidR="003C02CA" w:rsidRPr="00524BEE" w14:paraId="424E38E1" w14:textId="77777777" w:rsidTr="002F7BAE">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BFBFBF" w:themeFill="background1" w:themeFillShade="BF"/>
            <w:vAlign w:val="center"/>
            <w:hideMark/>
          </w:tcPr>
          <w:p w14:paraId="5E0BBA28" w14:textId="77777777" w:rsidR="003C02CA" w:rsidRPr="00524BEE" w:rsidRDefault="003C02CA" w:rsidP="002F7BAE">
            <w:pPr>
              <w:spacing w:after="0"/>
              <w:rPr>
                <w:rFonts w:cs="Arial"/>
                <w:b/>
                <w:bCs/>
                <w:color w:val="FFFFFF"/>
                <w:lang w:eastAsia="en-GB"/>
              </w:rPr>
            </w:pPr>
            <w:r w:rsidRPr="00524BEE">
              <w:rPr>
                <w:rFonts w:ascii="Arial" w:hAnsi="Arial" w:cs="Arial"/>
                <w:b/>
                <w:bCs/>
                <w:color w:val="FFFFFF"/>
              </w:rPr>
              <w:t xml:space="preserve">TOTAL FUNDING </w:t>
            </w:r>
          </w:p>
        </w:tc>
        <w:tc>
          <w:tcPr>
            <w:tcW w:w="1132"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02F16F8C"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0000"/>
              </w:rPr>
              <w:t>(1</w:t>
            </w:r>
            <w:r>
              <w:rPr>
                <w:rFonts w:ascii="Arial" w:hAnsi="Arial" w:cs="Arial"/>
                <w:b/>
                <w:bCs/>
                <w:color w:val="FF0000"/>
              </w:rPr>
              <w:t>5</w:t>
            </w:r>
            <w:r w:rsidRPr="002707E5">
              <w:rPr>
                <w:rFonts w:ascii="Arial" w:hAnsi="Arial" w:cs="Arial"/>
                <w:b/>
                <w:bCs/>
                <w:color w:val="FF0000"/>
              </w:rPr>
              <w:t>.</w:t>
            </w:r>
            <w:r>
              <w:rPr>
                <w:rFonts w:ascii="Arial" w:hAnsi="Arial" w:cs="Arial"/>
                <w:b/>
                <w:bCs/>
                <w:color w:val="FF0000"/>
              </w:rPr>
              <w:t>639</w:t>
            </w:r>
            <w:r w:rsidRPr="002707E5">
              <w:rPr>
                <w:rFonts w:ascii="Arial" w:hAnsi="Arial" w:cs="Arial"/>
                <w:b/>
                <w:bCs/>
                <w:color w:val="FF0000"/>
              </w:rPr>
              <w:t>)</w:t>
            </w:r>
          </w:p>
        </w:tc>
        <w:tc>
          <w:tcPr>
            <w:tcW w:w="1036"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0350FE44"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0000"/>
              </w:rPr>
              <w:t>(1</w:t>
            </w:r>
            <w:r>
              <w:rPr>
                <w:rFonts w:ascii="Arial" w:hAnsi="Arial" w:cs="Arial"/>
                <w:b/>
                <w:bCs/>
                <w:color w:val="FF0000"/>
              </w:rPr>
              <w:t>4</w:t>
            </w:r>
            <w:r w:rsidRPr="002707E5">
              <w:rPr>
                <w:rFonts w:ascii="Arial" w:hAnsi="Arial" w:cs="Arial"/>
                <w:b/>
                <w:bCs/>
                <w:color w:val="FF0000"/>
              </w:rPr>
              <w:t>.</w:t>
            </w:r>
            <w:r>
              <w:rPr>
                <w:rFonts w:ascii="Arial" w:hAnsi="Arial" w:cs="Arial"/>
                <w:b/>
                <w:bCs/>
                <w:color w:val="FF0000"/>
              </w:rPr>
              <w:t>568</w:t>
            </w:r>
            <w:r w:rsidRPr="002707E5">
              <w:rPr>
                <w:rFonts w:ascii="Arial" w:hAnsi="Arial" w:cs="Arial"/>
                <w:b/>
                <w:bCs/>
                <w:color w:val="FF0000"/>
              </w:rPr>
              <w:t>)</w:t>
            </w:r>
          </w:p>
        </w:tc>
        <w:tc>
          <w:tcPr>
            <w:tcW w:w="1036"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55373738"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0000"/>
              </w:rPr>
              <w:t>(1</w:t>
            </w:r>
            <w:r>
              <w:rPr>
                <w:rFonts w:ascii="Arial" w:hAnsi="Arial" w:cs="Arial"/>
                <w:b/>
                <w:bCs/>
                <w:color w:val="FF0000"/>
              </w:rPr>
              <w:t>4.568</w:t>
            </w:r>
            <w:r w:rsidRPr="002707E5">
              <w:rPr>
                <w:rFonts w:ascii="Arial" w:hAnsi="Arial" w:cs="Arial"/>
                <w:b/>
                <w:bCs/>
                <w:color w:val="FF0000"/>
              </w:rPr>
              <w:t>)</w:t>
            </w:r>
          </w:p>
        </w:tc>
      </w:tr>
      <w:tr w:rsidR="003C02CA" w:rsidRPr="00524BEE" w14:paraId="775F9111" w14:textId="77777777" w:rsidTr="002F7BAE">
        <w:trPr>
          <w:trHeight w:val="300"/>
        </w:trPr>
        <w:tc>
          <w:tcPr>
            <w:tcW w:w="3596" w:type="dxa"/>
            <w:tcBorders>
              <w:top w:val="nil"/>
              <w:left w:val="nil"/>
              <w:bottom w:val="single" w:sz="8" w:space="0" w:color="auto"/>
              <w:right w:val="nil"/>
            </w:tcBorders>
            <w:shd w:val="clear" w:color="000000" w:fill="FFFFFF"/>
            <w:vAlign w:val="center"/>
            <w:hideMark/>
          </w:tcPr>
          <w:p w14:paraId="4DE8E442" w14:textId="77777777" w:rsidR="003C02CA" w:rsidRPr="00524BEE" w:rsidRDefault="003C02CA" w:rsidP="002F7BAE">
            <w:pPr>
              <w:spacing w:after="0"/>
              <w:rPr>
                <w:rFonts w:cs="Arial"/>
                <w:color w:val="000000"/>
                <w:lang w:eastAsia="en-GB"/>
              </w:rPr>
            </w:pPr>
            <w:r w:rsidRPr="00524BEE">
              <w:rPr>
                <w:rFonts w:ascii="Arial" w:hAnsi="Arial" w:cs="Arial"/>
                <w:color w:val="000000"/>
              </w:rPr>
              <w:t> </w:t>
            </w:r>
          </w:p>
        </w:tc>
        <w:tc>
          <w:tcPr>
            <w:tcW w:w="1132" w:type="dxa"/>
            <w:tcBorders>
              <w:top w:val="nil"/>
              <w:left w:val="nil"/>
              <w:bottom w:val="single" w:sz="8" w:space="0" w:color="auto"/>
              <w:right w:val="nil"/>
            </w:tcBorders>
            <w:shd w:val="clear" w:color="000000" w:fill="FFFFFF"/>
            <w:vAlign w:val="center"/>
            <w:hideMark/>
          </w:tcPr>
          <w:p w14:paraId="7A898D9E" w14:textId="77777777" w:rsidR="003C02CA" w:rsidRPr="002707E5" w:rsidRDefault="003C02CA" w:rsidP="002F7BAE">
            <w:pPr>
              <w:spacing w:after="0"/>
              <w:jc w:val="right"/>
              <w:rPr>
                <w:rFonts w:cs="Arial"/>
                <w:color w:val="000000"/>
                <w:lang w:eastAsia="en-GB"/>
              </w:rPr>
            </w:pPr>
            <w:r w:rsidRPr="002707E5">
              <w:rPr>
                <w:rFonts w:ascii="Arial" w:hAnsi="Arial" w:cs="Arial"/>
                <w:color w:val="FFFFFF"/>
              </w:rPr>
              <w:t> </w:t>
            </w:r>
          </w:p>
        </w:tc>
        <w:tc>
          <w:tcPr>
            <w:tcW w:w="1036" w:type="dxa"/>
            <w:tcBorders>
              <w:top w:val="nil"/>
              <w:left w:val="nil"/>
              <w:bottom w:val="single" w:sz="8" w:space="0" w:color="auto"/>
              <w:right w:val="nil"/>
            </w:tcBorders>
            <w:shd w:val="clear" w:color="000000" w:fill="FFFFFF"/>
            <w:vAlign w:val="center"/>
            <w:hideMark/>
          </w:tcPr>
          <w:p w14:paraId="0A0AD7D8" w14:textId="77777777" w:rsidR="003C02CA" w:rsidRPr="002707E5" w:rsidRDefault="003C02CA" w:rsidP="002F7BAE">
            <w:pPr>
              <w:spacing w:after="0"/>
              <w:jc w:val="right"/>
              <w:rPr>
                <w:rFonts w:cs="Arial"/>
                <w:color w:val="000000"/>
                <w:lang w:eastAsia="en-GB"/>
              </w:rPr>
            </w:pPr>
            <w:r w:rsidRPr="002707E5">
              <w:rPr>
                <w:rFonts w:ascii="Arial" w:hAnsi="Arial" w:cs="Arial"/>
                <w:color w:val="FFFFFF"/>
              </w:rPr>
              <w:t> </w:t>
            </w:r>
          </w:p>
        </w:tc>
        <w:tc>
          <w:tcPr>
            <w:tcW w:w="1036" w:type="dxa"/>
            <w:tcBorders>
              <w:top w:val="nil"/>
              <w:left w:val="nil"/>
              <w:bottom w:val="single" w:sz="8" w:space="0" w:color="auto"/>
              <w:right w:val="nil"/>
            </w:tcBorders>
            <w:shd w:val="clear" w:color="000000" w:fill="FFFFFF"/>
            <w:vAlign w:val="center"/>
            <w:hideMark/>
          </w:tcPr>
          <w:p w14:paraId="5D072D3E" w14:textId="77777777" w:rsidR="003C02CA" w:rsidRPr="002707E5" w:rsidRDefault="003C02CA" w:rsidP="002F7BAE">
            <w:pPr>
              <w:spacing w:after="0"/>
              <w:jc w:val="right"/>
              <w:rPr>
                <w:rFonts w:cs="Arial"/>
                <w:color w:val="000000"/>
                <w:lang w:eastAsia="en-GB"/>
              </w:rPr>
            </w:pPr>
            <w:r w:rsidRPr="002707E5">
              <w:rPr>
                <w:rFonts w:ascii="Arial" w:hAnsi="Arial" w:cs="Arial"/>
                <w:color w:val="FFFFFF"/>
              </w:rPr>
              <w:t> </w:t>
            </w:r>
          </w:p>
        </w:tc>
      </w:tr>
      <w:tr w:rsidR="003C02CA" w:rsidRPr="00524BEE" w14:paraId="37645CB3" w14:textId="77777777" w:rsidTr="002F7BAE">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A6A6A6" w:themeFill="background1" w:themeFillShade="A6"/>
            <w:vAlign w:val="center"/>
            <w:hideMark/>
          </w:tcPr>
          <w:p w14:paraId="284D2872" w14:textId="77777777" w:rsidR="003C02CA" w:rsidRPr="00524BEE" w:rsidRDefault="003C02CA" w:rsidP="002F7BAE">
            <w:pPr>
              <w:spacing w:after="0"/>
              <w:rPr>
                <w:rFonts w:cs="Arial"/>
                <w:b/>
                <w:bCs/>
                <w:color w:val="FFFFFF"/>
                <w:lang w:eastAsia="en-GB"/>
              </w:rPr>
            </w:pPr>
            <w:r w:rsidRPr="00524BEE">
              <w:rPr>
                <w:rFonts w:ascii="Arial" w:hAnsi="Arial" w:cs="Arial"/>
                <w:b/>
                <w:bCs/>
                <w:color w:val="FFFFFF"/>
              </w:rPr>
              <w:t>TOTAL NET EXPENDITURE</w:t>
            </w:r>
          </w:p>
        </w:tc>
        <w:tc>
          <w:tcPr>
            <w:tcW w:w="1132"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33156D37"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FFFF"/>
              </w:rPr>
              <w:t>15.</w:t>
            </w:r>
            <w:r>
              <w:rPr>
                <w:rFonts w:ascii="Arial" w:hAnsi="Arial" w:cs="Arial"/>
                <w:b/>
                <w:bCs/>
                <w:color w:val="FFFFFF"/>
              </w:rPr>
              <w:t>694</w:t>
            </w:r>
          </w:p>
        </w:tc>
        <w:tc>
          <w:tcPr>
            <w:tcW w:w="1036"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580B9B9D"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FFFF"/>
              </w:rPr>
              <w:t>15.</w:t>
            </w:r>
            <w:r>
              <w:rPr>
                <w:rFonts w:ascii="Arial" w:hAnsi="Arial" w:cs="Arial"/>
                <w:b/>
                <w:bCs/>
                <w:color w:val="FFFFFF"/>
              </w:rPr>
              <w:t>307</w:t>
            </w:r>
          </w:p>
        </w:tc>
        <w:tc>
          <w:tcPr>
            <w:tcW w:w="1036"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505DBE8F"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FFFF"/>
              </w:rPr>
              <w:t>15.</w:t>
            </w:r>
            <w:r>
              <w:rPr>
                <w:rFonts w:ascii="Arial" w:hAnsi="Arial" w:cs="Arial"/>
                <w:b/>
                <w:bCs/>
                <w:color w:val="FFFFFF"/>
              </w:rPr>
              <w:t>582</w:t>
            </w:r>
          </w:p>
        </w:tc>
      </w:tr>
      <w:tr w:rsidR="003C02CA" w:rsidRPr="00524BEE" w14:paraId="3F22538B" w14:textId="77777777" w:rsidTr="002F7BAE">
        <w:trPr>
          <w:trHeight w:val="300"/>
        </w:trPr>
        <w:tc>
          <w:tcPr>
            <w:tcW w:w="3596" w:type="dxa"/>
            <w:tcBorders>
              <w:top w:val="nil"/>
              <w:left w:val="nil"/>
              <w:bottom w:val="nil"/>
              <w:right w:val="nil"/>
            </w:tcBorders>
            <w:shd w:val="clear" w:color="000000" w:fill="FFFFFF"/>
            <w:vAlign w:val="center"/>
            <w:hideMark/>
          </w:tcPr>
          <w:p w14:paraId="20451652" w14:textId="77777777" w:rsidR="003C02CA" w:rsidRPr="00524BEE" w:rsidRDefault="003C02CA" w:rsidP="002F7BAE">
            <w:pPr>
              <w:spacing w:after="0"/>
              <w:rPr>
                <w:rFonts w:cs="Arial"/>
                <w:i/>
                <w:iCs/>
                <w:color w:val="000000"/>
                <w:lang w:eastAsia="en-GB"/>
              </w:rPr>
            </w:pPr>
            <w:r w:rsidRPr="00524BEE">
              <w:rPr>
                <w:rFonts w:ascii="Arial" w:hAnsi="Arial" w:cs="Arial"/>
                <w:i/>
                <w:iCs/>
                <w:color w:val="000000"/>
              </w:rPr>
              <w:t> </w:t>
            </w:r>
          </w:p>
        </w:tc>
        <w:tc>
          <w:tcPr>
            <w:tcW w:w="1132" w:type="dxa"/>
            <w:tcBorders>
              <w:top w:val="nil"/>
              <w:left w:val="nil"/>
              <w:bottom w:val="nil"/>
              <w:right w:val="nil"/>
            </w:tcBorders>
            <w:shd w:val="clear" w:color="000000" w:fill="FFFFFF"/>
            <w:vAlign w:val="center"/>
            <w:hideMark/>
          </w:tcPr>
          <w:p w14:paraId="157612B8" w14:textId="77777777" w:rsidR="003C02CA" w:rsidRPr="002707E5" w:rsidRDefault="003C02CA" w:rsidP="002F7BAE">
            <w:pPr>
              <w:spacing w:after="0"/>
              <w:jc w:val="right"/>
              <w:rPr>
                <w:rFonts w:cs="Arial"/>
                <w:color w:val="000000"/>
                <w:lang w:eastAsia="en-GB"/>
              </w:rPr>
            </w:pPr>
            <w:r w:rsidRPr="002707E5">
              <w:rPr>
                <w:rFonts w:ascii="Arial" w:hAnsi="Arial" w:cs="Arial"/>
                <w:color w:val="FFFFFF"/>
              </w:rPr>
              <w:t> </w:t>
            </w:r>
          </w:p>
        </w:tc>
        <w:tc>
          <w:tcPr>
            <w:tcW w:w="1036" w:type="dxa"/>
            <w:tcBorders>
              <w:top w:val="nil"/>
              <w:left w:val="nil"/>
              <w:bottom w:val="nil"/>
              <w:right w:val="nil"/>
            </w:tcBorders>
            <w:shd w:val="clear" w:color="000000" w:fill="FFFFFF"/>
            <w:vAlign w:val="center"/>
            <w:hideMark/>
          </w:tcPr>
          <w:p w14:paraId="6DB8E8E5" w14:textId="77777777" w:rsidR="003C02CA" w:rsidRPr="002707E5" w:rsidRDefault="003C02CA" w:rsidP="002F7BAE">
            <w:pPr>
              <w:spacing w:after="0"/>
              <w:jc w:val="right"/>
              <w:rPr>
                <w:rFonts w:cs="Arial"/>
                <w:color w:val="000000"/>
                <w:lang w:eastAsia="en-GB"/>
              </w:rPr>
            </w:pPr>
            <w:r w:rsidRPr="002707E5">
              <w:rPr>
                <w:rFonts w:ascii="Arial" w:hAnsi="Arial" w:cs="Arial"/>
                <w:color w:val="FFFFFF"/>
              </w:rPr>
              <w:t> </w:t>
            </w:r>
          </w:p>
        </w:tc>
        <w:tc>
          <w:tcPr>
            <w:tcW w:w="1036" w:type="dxa"/>
            <w:tcBorders>
              <w:top w:val="nil"/>
              <w:left w:val="nil"/>
              <w:bottom w:val="nil"/>
              <w:right w:val="nil"/>
            </w:tcBorders>
            <w:shd w:val="clear" w:color="000000" w:fill="FFFFFF"/>
            <w:vAlign w:val="center"/>
            <w:hideMark/>
          </w:tcPr>
          <w:p w14:paraId="69CB810A" w14:textId="77777777" w:rsidR="003C02CA" w:rsidRPr="002707E5" w:rsidRDefault="003C02CA" w:rsidP="002F7BAE">
            <w:pPr>
              <w:spacing w:after="0"/>
              <w:jc w:val="right"/>
              <w:rPr>
                <w:rFonts w:cs="Arial"/>
                <w:color w:val="000000"/>
                <w:lang w:eastAsia="en-GB"/>
              </w:rPr>
            </w:pPr>
            <w:r w:rsidRPr="002707E5">
              <w:rPr>
                <w:rFonts w:ascii="Arial" w:hAnsi="Arial" w:cs="Arial"/>
                <w:color w:val="FFFFFF"/>
              </w:rPr>
              <w:t> </w:t>
            </w:r>
          </w:p>
        </w:tc>
      </w:tr>
      <w:tr w:rsidR="003C02CA" w:rsidRPr="00524BEE" w14:paraId="6A44A6B9" w14:textId="77777777" w:rsidTr="002F7BAE">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22EBDF74" w14:textId="77777777" w:rsidR="003C02CA" w:rsidRPr="00524BEE" w:rsidRDefault="003C02CA" w:rsidP="002F7BAE">
            <w:pPr>
              <w:spacing w:after="0"/>
              <w:rPr>
                <w:rFonts w:cs="Arial"/>
                <w:b/>
                <w:bCs/>
                <w:color w:val="FFFFFF"/>
                <w:lang w:eastAsia="en-GB"/>
              </w:rPr>
            </w:pPr>
            <w:r w:rsidRPr="00524BEE">
              <w:rPr>
                <w:rFonts w:ascii="Arial" w:hAnsi="Arial" w:cs="Arial"/>
                <w:b/>
                <w:bCs/>
                <w:color w:val="FFFFFF"/>
              </w:rPr>
              <w:t>BUDGET DEFICIT/(SURPLUS)</w:t>
            </w:r>
          </w:p>
        </w:tc>
        <w:tc>
          <w:tcPr>
            <w:tcW w:w="1132" w:type="dxa"/>
            <w:tcBorders>
              <w:top w:val="single" w:sz="8" w:space="0" w:color="auto"/>
              <w:left w:val="nil"/>
              <w:bottom w:val="single" w:sz="8" w:space="0" w:color="auto"/>
              <w:right w:val="single" w:sz="8" w:space="0" w:color="auto"/>
            </w:tcBorders>
            <w:shd w:val="clear" w:color="000000" w:fill="0070C0"/>
            <w:vAlign w:val="center"/>
          </w:tcPr>
          <w:p w14:paraId="4DE82474"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FFFF"/>
              </w:rPr>
              <w:t>0.</w:t>
            </w:r>
            <w:r>
              <w:rPr>
                <w:rFonts w:ascii="Arial" w:hAnsi="Arial" w:cs="Arial"/>
                <w:b/>
                <w:bCs/>
                <w:color w:val="FFFFFF"/>
              </w:rPr>
              <w:t>055</w:t>
            </w:r>
          </w:p>
        </w:tc>
        <w:tc>
          <w:tcPr>
            <w:tcW w:w="1036" w:type="dxa"/>
            <w:tcBorders>
              <w:top w:val="single" w:sz="8" w:space="0" w:color="auto"/>
              <w:left w:val="nil"/>
              <w:bottom w:val="single" w:sz="8" w:space="0" w:color="auto"/>
              <w:right w:val="single" w:sz="8" w:space="0" w:color="auto"/>
            </w:tcBorders>
            <w:shd w:val="clear" w:color="000000" w:fill="0070C0"/>
            <w:vAlign w:val="center"/>
          </w:tcPr>
          <w:p w14:paraId="5DCB62A3" w14:textId="77777777" w:rsidR="003C02CA" w:rsidRPr="002707E5" w:rsidRDefault="003C02CA" w:rsidP="002F7BAE">
            <w:pPr>
              <w:spacing w:after="0"/>
              <w:jc w:val="right"/>
              <w:rPr>
                <w:rFonts w:cs="Arial"/>
                <w:b/>
                <w:bCs/>
                <w:color w:val="FFFFFF"/>
                <w:lang w:eastAsia="en-GB"/>
              </w:rPr>
            </w:pPr>
            <w:r>
              <w:rPr>
                <w:rFonts w:ascii="Arial" w:hAnsi="Arial" w:cs="Arial"/>
                <w:b/>
                <w:bCs/>
                <w:color w:val="FFFFFF"/>
              </w:rPr>
              <w:t>0.739</w:t>
            </w:r>
          </w:p>
        </w:tc>
        <w:tc>
          <w:tcPr>
            <w:tcW w:w="1036" w:type="dxa"/>
            <w:tcBorders>
              <w:top w:val="single" w:sz="8" w:space="0" w:color="auto"/>
              <w:left w:val="nil"/>
              <w:bottom w:val="single" w:sz="8" w:space="0" w:color="auto"/>
              <w:right w:val="single" w:sz="8" w:space="0" w:color="auto"/>
            </w:tcBorders>
            <w:shd w:val="clear" w:color="000000" w:fill="0070C0"/>
            <w:vAlign w:val="center"/>
          </w:tcPr>
          <w:p w14:paraId="5E93E1A7" w14:textId="77777777" w:rsidR="003C02CA" w:rsidRPr="002707E5" w:rsidRDefault="003C02CA" w:rsidP="002F7BAE">
            <w:pPr>
              <w:spacing w:after="0"/>
              <w:jc w:val="right"/>
              <w:rPr>
                <w:rFonts w:cs="Arial"/>
                <w:b/>
                <w:bCs/>
                <w:color w:val="FFFFFF"/>
                <w:lang w:eastAsia="en-GB"/>
              </w:rPr>
            </w:pPr>
            <w:r w:rsidRPr="002707E5">
              <w:rPr>
                <w:rFonts w:ascii="Arial" w:hAnsi="Arial" w:cs="Arial"/>
                <w:b/>
                <w:bCs/>
                <w:color w:val="FFFFFF"/>
              </w:rPr>
              <w:t>1.</w:t>
            </w:r>
            <w:r>
              <w:rPr>
                <w:rFonts w:ascii="Arial" w:hAnsi="Arial" w:cs="Arial"/>
                <w:b/>
                <w:bCs/>
                <w:color w:val="FFFFFF"/>
              </w:rPr>
              <w:t>014</w:t>
            </w:r>
          </w:p>
        </w:tc>
      </w:tr>
    </w:tbl>
    <w:p w14:paraId="66BCE5FD" w14:textId="77777777" w:rsidR="003C02CA" w:rsidRPr="00CA0113" w:rsidRDefault="003C02CA" w:rsidP="003C02CA">
      <w:pPr>
        <w:spacing w:after="0"/>
        <w:rPr>
          <w:rFonts w:ascii="Arial" w:hAnsi="Arial" w:cs="Arial"/>
        </w:rPr>
      </w:pPr>
    </w:p>
    <w:p w14:paraId="77D0127E" w14:textId="77777777" w:rsidR="003C02CA" w:rsidRPr="00CA0113" w:rsidRDefault="003C02CA" w:rsidP="003C02CA">
      <w:pPr>
        <w:spacing w:after="0"/>
        <w:rPr>
          <w:rFonts w:ascii="Arial" w:hAnsi="Arial" w:cs="Arial"/>
        </w:rPr>
      </w:pPr>
    </w:p>
    <w:p w14:paraId="04626815" w14:textId="77777777" w:rsidR="003C02CA" w:rsidRPr="000F23A2" w:rsidRDefault="003C02CA" w:rsidP="003C02CA">
      <w:pPr>
        <w:pStyle w:val="ListParagraph"/>
        <w:numPr>
          <w:ilvl w:val="0"/>
          <w:numId w:val="11"/>
        </w:numPr>
        <w:spacing w:after="0" w:line="240" w:lineRule="auto"/>
        <w:jc w:val="both"/>
        <w:rPr>
          <w:rFonts w:cs="Arial"/>
        </w:rPr>
      </w:pPr>
      <w:r w:rsidRPr="000F23A2">
        <w:rPr>
          <w:rFonts w:cs="Arial"/>
        </w:rPr>
        <w:t>All deficits and savings identified in the Table 1 and in the remainder of this report are cumulative. For example, the deficit of £0.739m in 202</w:t>
      </w:r>
      <w:r>
        <w:rPr>
          <w:rFonts w:cs="Arial"/>
        </w:rPr>
        <w:t>3</w:t>
      </w:r>
      <w:r w:rsidRPr="000F23A2">
        <w:rPr>
          <w:rFonts w:cs="Arial"/>
        </w:rPr>
        <w:t>/2</w:t>
      </w:r>
      <w:r>
        <w:rPr>
          <w:rFonts w:cs="Arial"/>
        </w:rPr>
        <w:t>4</w:t>
      </w:r>
      <w:r w:rsidRPr="000F23A2">
        <w:rPr>
          <w:rFonts w:cs="Arial"/>
        </w:rPr>
        <w:t xml:space="preserve"> identified above is the result of a £0.055m deficit in 2022/23 and further budget pressures and reduced funding of £0.684m identified for 2023/24. </w:t>
      </w:r>
    </w:p>
    <w:p w14:paraId="4E3FAE4B" w14:textId="77777777" w:rsidR="003C02CA" w:rsidRPr="00CA0113" w:rsidRDefault="003C02CA" w:rsidP="003C02CA">
      <w:pPr>
        <w:rPr>
          <w:highlight w:val="yellow"/>
        </w:rPr>
      </w:pPr>
    </w:p>
    <w:p w14:paraId="7C0E43B7" w14:textId="77777777" w:rsidR="003C02CA" w:rsidRPr="00CA0113" w:rsidRDefault="003C02CA" w:rsidP="003C02CA">
      <w:pPr>
        <w:spacing w:after="0"/>
        <w:rPr>
          <w:rFonts w:ascii="Arial" w:hAnsi="Arial" w:cs="Arial"/>
          <w:b/>
        </w:rPr>
      </w:pPr>
      <w:r w:rsidRPr="00CA0113">
        <w:rPr>
          <w:rFonts w:ascii="Arial" w:hAnsi="Arial" w:cs="Arial"/>
          <w:b/>
        </w:rPr>
        <w:t>Table 2: Key Budget Assumptions</w:t>
      </w:r>
    </w:p>
    <w:p w14:paraId="4A48C6D4" w14:textId="77777777" w:rsidR="003C02CA" w:rsidRPr="00CA0113" w:rsidRDefault="003C02CA" w:rsidP="003C02CA">
      <w:pPr>
        <w:rPr>
          <w:b/>
          <w:caps/>
          <w:sz w:val="12"/>
        </w:rPr>
      </w:pPr>
    </w:p>
    <w:tbl>
      <w:tblPr>
        <w:tblW w:w="9625" w:type="dxa"/>
        <w:tblInd w:w="103" w:type="dxa"/>
        <w:tblLook w:val="04A0" w:firstRow="1" w:lastRow="0" w:firstColumn="1" w:lastColumn="0" w:noHBand="0" w:noVBand="1"/>
      </w:tblPr>
      <w:tblGrid>
        <w:gridCol w:w="3181"/>
        <w:gridCol w:w="2494"/>
        <w:gridCol w:w="1276"/>
        <w:gridCol w:w="1337"/>
        <w:gridCol w:w="1337"/>
      </w:tblGrid>
      <w:tr w:rsidR="003C02CA" w:rsidRPr="00CA0113" w14:paraId="23A51DBB" w14:textId="77777777" w:rsidTr="002F7BAE">
        <w:trPr>
          <w:trHeight w:val="454"/>
        </w:trPr>
        <w:tc>
          <w:tcPr>
            <w:tcW w:w="3181" w:type="dxa"/>
            <w:tcBorders>
              <w:top w:val="single" w:sz="4" w:space="0" w:color="auto"/>
              <w:left w:val="single" w:sz="4" w:space="0" w:color="auto"/>
              <w:bottom w:val="single" w:sz="4" w:space="0" w:color="auto"/>
            </w:tcBorders>
            <w:shd w:val="clear" w:color="auto" w:fill="147FA8"/>
            <w:noWrap/>
            <w:vAlign w:val="center"/>
            <w:hideMark/>
          </w:tcPr>
          <w:p w14:paraId="65009CE3" w14:textId="77777777" w:rsidR="003C02CA" w:rsidRPr="00CA0113" w:rsidRDefault="003C02CA" w:rsidP="002F7BAE">
            <w:pPr>
              <w:spacing w:after="0"/>
              <w:rPr>
                <w:rFonts w:cs="Arial"/>
                <w:b/>
                <w:bCs/>
                <w:color w:val="FFFFFF" w:themeColor="background1"/>
                <w:lang w:eastAsia="en-GB"/>
              </w:rPr>
            </w:pPr>
            <w:r w:rsidRPr="00CA0113">
              <w:rPr>
                <w:rFonts w:cs="Arial"/>
                <w:b/>
                <w:bCs/>
                <w:color w:val="FFFFFF" w:themeColor="background1"/>
                <w:lang w:eastAsia="en-GB"/>
              </w:rPr>
              <w:lastRenderedPageBreak/>
              <w:t>Key Assumptions</w:t>
            </w:r>
          </w:p>
        </w:tc>
        <w:tc>
          <w:tcPr>
            <w:tcW w:w="2494" w:type="dxa"/>
            <w:tcBorders>
              <w:top w:val="single" w:sz="4" w:space="0" w:color="auto"/>
              <w:bottom w:val="single" w:sz="4" w:space="0" w:color="auto"/>
              <w:right w:val="single" w:sz="4" w:space="0" w:color="auto"/>
            </w:tcBorders>
            <w:shd w:val="clear" w:color="auto" w:fill="147FA8"/>
            <w:noWrap/>
            <w:vAlign w:val="center"/>
            <w:hideMark/>
          </w:tcPr>
          <w:p w14:paraId="638FA38E" w14:textId="77777777" w:rsidR="003C02CA" w:rsidRPr="00CA0113" w:rsidRDefault="003C02CA" w:rsidP="002F7BAE">
            <w:pPr>
              <w:spacing w:after="0"/>
              <w:rPr>
                <w:rFonts w:cs="Arial"/>
                <w:b/>
                <w:bCs/>
                <w:color w:val="FFFFFF" w:themeColor="background1"/>
                <w:lang w:eastAsia="en-GB"/>
              </w:rPr>
            </w:pPr>
            <w:r w:rsidRPr="00CA0113">
              <w:rPr>
                <w:rFonts w:cs="Arial"/>
                <w:b/>
                <w:bCs/>
                <w:color w:val="FFFFFF" w:themeColor="background1"/>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147FA8"/>
            <w:noWrap/>
            <w:vAlign w:val="center"/>
            <w:hideMark/>
          </w:tcPr>
          <w:p w14:paraId="1882586D" w14:textId="77777777" w:rsidR="003C02CA" w:rsidRPr="00CA0113" w:rsidRDefault="003C02CA" w:rsidP="002F7BAE">
            <w:pPr>
              <w:spacing w:after="0"/>
              <w:jc w:val="center"/>
              <w:rPr>
                <w:rFonts w:cs="Arial"/>
                <w:b/>
                <w:bCs/>
                <w:color w:val="FFFFFF" w:themeColor="background1"/>
                <w:lang w:eastAsia="en-GB"/>
              </w:rPr>
            </w:pPr>
            <w:r w:rsidRPr="00CA0113">
              <w:rPr>
                <w:rFonts w:cs="Arial"/>
                <w:b/>
                <w:bCs/>
                <w:color w:val="FFFFFF" w:themeColor="background1"/>
                <w:lang w:eastAsia="en-GB"/>
              </w:rPr>
              <w:t>202</w:t>
            </w:r>
            <w:r>
              <w:rPr>
                <w:rFonts w:cs="Arial"/>
                <w:b/>
                <w:bCs/>
                <w:color w:val="FFFFFF" w:themeColor="background1"/>
                <w:lang w:eastAsia="en-GB"/>
              </w:rPr>
              <w:t>2</w:t>
            </w:r>
            <w:r w:rsidRPr="00CA0113">
              <w:rPr>
                <w:rFonts w:cs="Arial"/>
                <w:b/>
                <w:bCs/>
                <w:color w:val="FFFFFF" w:themeColor="background1"/>
                <w:lang w:eastAsia="en-GB"/>
              </w:rPr>
              <w:t>/2</w:t>
            </w:r>
            <w:r>
              <w:rPr>
                <w:rFonts w:cs="Arial"/>
                <w:b/>
                <w:bCs/>
                <w:color w:val="FFFFFF" w:themeColor="background1"/>
                <w:lang w:eastAsia="en-GB"/>
              </w:rPr>
              <w:t>3</w:t>
            </w:r>
          </w:p>
        </w:tc>
        <w:tc>
          <w:tcPr>
            <w:tcW w:w="1337" w:type="dxa"/>
            <w:tcBorders>
              <w:top w:val="single" w:sz="4" w:space="0" w:color="auto"/>
              <w:left w:val="single" w:sz="4" w:space="0" w:color="auto"/>
              <w:bottom w:val="single" w:sz="4" w:space="0" w:color="auto"/>
              <w:right w:val="single" w:sz="4" w:space="0" w:color="auto"/>
            </w:tcBorders>
            <w:shd w:val="clear" w:color="auto" w:fill="147FA8"/>
            <w:noWrap/>
            <w:vAlign w:val="center"/>
            <w:hideMark/>
          </w:tcPr>
          <w:p w14:paraId="5B871F45" w14:textId="77777777" w:rsidR="003C02CA" w:rsidRPr="00CA0113" w:rsidRDefault="003C02CA" w:rsidP="002F7BAE">
            <w:pPr>
              <w:spacing w:after="0"/>
              <w:jc w:val="center"/>
              <w:rPr>
                <w:rFonts w:cs="Arial"/>
                <w:b/>
                <w:bCs/>
                <w:color w:val="FFFFFF" w:themeColor="background1"/>
                <w:lang w:eastAsia="en-GB"/>
              </w:rPr>
            </w:pPr>
            <w:r w:rsidRPr="00CA0113">
              <w:rPr>
                <w:rFonts w:cs="Arial"/>
                <w:b/>
                <w:bCs/>
                <w:color w:val="FFFFFF" w:themeColor="background1"/>
                <w:lang w:eastAsia="en-GB"/>
              </w:rPr>
              <w:t>202</w:t>
            </w:r>
            <w:r>
              <w:rPr>
                <w:rFonts w:cs="Arial"/>
                <w:b/>
                <w:bCs/>
                <w:color w:val="FFFFFF" w:themeColor="background1"/>
                <w:lang w:eastAsia="en-GB"/>
              </w:rPr>
              <w:t>3</w:t>
            </w:r>
            <w:r w:rsidRPr="00CA0113">
              <w:rPr>
                <w:rFonts w:cs="Arial"/>
                <w:b/>
                <w:bCs/>
                <w:color w:val="FFFFFF" w:themeColor="background1"/>
                <w:lang w:eastAsia="en-GB"/>
              </w:rPr>
              <w:t>/2</w:t>
            </w:r>
            <w:r>
              <w:rPr>
                <w:rFonts w:cs="Arial"/>
                <w:b/>
                <w:bCs/>
                <w:color w:val="FFFFFF" w:themeColor="background1"/>
                <w:lang w:eastAsia="en-GB"/>
              </w:rPr>
              <w:t>4</w:t>
            </w:r>
          </w:p>
        </w:tc>
        <w:tc>
          <w:tcPr>
            <w:tcW w:w="1337" w:type="dxa"/>
            <w:tcBorders>
              <w:top w:val="single" w:sz="4" w:space="0" w:color="auto"/>
              <w:left w:val="single" w:sz="4" w:space="0" w:color="auto"/>
              <w:bottom w:val="single" w:sz="4" w:space="0" w:color="auto"/>
              <w:right w:val="single" w:sz="4" w:space="0" w:color="auto"/>
            </w:tcBorders>
            <w:shd w:val="clear" w:color="auto" w:fill="147FA8"/>
            <w:vAlign w:val="center"/>
          </w:tcPr>
          <w:p w14:paraId="69C77374" w14:textId="77777777" w:rsidR="003C02CA" w:rsidRPr="00CA0113" w:rsidRDefault="003C02CA" w:rsidP="002F7BAE">
            <w:pPr>
              <w:spacing w:after="0"/>
              <w:jc w:val="center"/>
              <w:rPr>
                <w:rFonts w:cs="Arial"/>
                <w:b/>
                <w:bCs/>
                <w:color w:val="FFFFFF" w:themeColor="background1"/>
                <w:lang w:eastAsia="en-GB"/>
              </w:rPr>
            </w:pPr>
            <w:r w:rsidRPr="00CA0113">
              <w:rPr>
                <w:rFonts w:cs="Arial"/>
                <w:b/>
                <w:bCs/>
                <w:color w:val="FFFFFF" w:themeColor="background1"/>
                <w:lang w:eastAsia="en-GB"/>
              </w:rPr>
              <w:t>202</w:t>
            </w:r>
            <w:r>
              <w:rPr>
                <w:rFonts w:cs="Arial"/>
                <w:b/>
                <w:bCs/>
                <w:color w:val="FFFFFF" w:themeColor="background1"/>
                <w:lang w:eastAsia="en-GB"/>
              </w:rPr>
              <w:t>4</w:t>
            </w:r>
            <w:r w:rsidRPr="00CA0113">
              <w:rPr>
                <w:rFonts w:cs="Arial"/>
                <w:b/>
                <w:bCs/>
                <w:color w:val="FFFFFF" w:themeColor="background1"/>
                <w:lang w:eastAsia="en-GB"/>
              </w:rPr>
              <w:t>/2</w:t>
            </w:r>
            <w:r>
              <w:rPr>
                <w:rFonts w:cs="Arial"/>
                <w:b/>
                <w:bCs/>
                <w:color w:val="FFFFFF" w:themeColor="background1"/>
                <w:lang w:eastAsia="en-GB"/>
              </w:rPr>
              <w:t>5</w:t>
            </w:r>
          </w:p>
        </w:tc>
      </w:tr>
      <w:tr w:rsidR="003C02CA" w:rsidRPr="00CA0113" w14:paraId="438558FA" w14:textId="77777777" w:rsidTr="002F7BAE">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25AB0" w14:textId="77777777" w:rsidR="003C02CA" w:rsidRPr="00CA0113" w:rsidRDefault="003C02CA" w:rsidP="002F7BAE">
            <w:pPr>
              <w:spacing w:after="0"/>
              <w:rPr>
                <w:rFonts w:cs="Arial"/>
                <w:lang w:eastAsia="en-GB"/>
              </w:rPr>
            </w:pPr>
            <w:r>
              <w:rPr>
                <w:rFonts w:cs="Arial"/>
                <w:lang w:eastAsia="en-GB"/>
              </w:rPr>
              <w:t>Growth in the council’s Council Tax base</w:t>
            </w:r>
          </w:p>
        </w:tc>
        <w:tc>
          <w:tcPr>
            <w:tcW w:w="1276" w:type="dxa"/>
            <w:tcBorders>
              <w:top w:val="nil"/>
              <w:left w:val="nil"/>
              <w:bottom w:val="single" w:sz="4" w:space="0" w:color="auto"/>
              <w:right w:val="single" w:sz="4" w:space="0" w:color="auto"/>
            </w:tcBorders>
            <w:shd w:val="clear" w:color="auto" w:fill="auto"/>
            <w:noWrap/>
            <w:vAlign w:val="center"/>
            <w:hideMark/>
          </w:tcPr>
          <w:p w14:paraId="0E0DDDEB" w14:textId="77777777" w:rsidR="003C02CA" w:rsidRPr="002707E5" w:rsidRDefault="003C02CA" w:rsidP="002F7BAE">
            <w:pPr>
              <w:spacing w:after="0"/>
              <w:jc w:val="right"/>
              <w:rPr>
                <w:rFonts w:cs="Arial"/>
                <w:lang w:eastAsia="en-GB"/>
              </w:rPr>
            </w:pPr>
            <w:r w:rsidRPr="002707E5">
              <w:rPr>
                <w:rFonts w:cs="Arial"/>
                <w:lang w:eastAsia="en-GB"/>
              </w:rPr>
              <w:t>0.0%</w:t>
            </w:r>
          </w:p>
        </w:tc>
        <w:tc>
          <w:tcPr>
            <w:tcW w:w="1337" w:type="dxa"/>
            <w:tcBorders>
              <w:top w:val="nil"/>
              <w:left w:val="nil"/>
              <w:bottom w:val="single" w:sz="4" w:space="0" w:color="auto"/>
              <w:right w:val="single" w:sz="4" w:space="0" w:color="auto"/>
            </w:tcBorders>
            <w:shd w:val="clear" w:color="auto" w:fill="auto"/>
            <w:noWrap/>
            <w:vAlign w:val="center"/>
            <w:hideMark/>
          </w:tcPr>
          <w:p w14:paraId="45073AE4" w14:textId="77777777" w:rsidR="003C02CA" w:rsidRPr="002707E5" w:rsidRDefault="003C02CA" w:rsidP="002F7BAE">
            <w:pPr>
              <w:spacing w:after="0"/>
              <w:jc w:val="right"/>
              <w:rPr>
                <w:rFonts w:cs="Arial"/>
                <w:lang w:eastAsia="en-GB"/>
              </w:rPr>
            </w:pPr>
            <w:r w:rsidRPr="002707E5">
              <w:rPr>
                <w:rFonts w:cs="Arial"/>
                <w:lang w:eastAsia="en-GB"/>
              </w:rPr>
              <w:t>0.0%</w:t>
            </w:r>
          </w:p>
        </w:tc>
        <w:tc>
          <w:tcPr>
            <w:tcW w:w="1337" w:type="dxa"/>
            <w:tcBorders>
              <w:top w:val="nil"/>
              <w:left w:val="nil"/>
              <w:bottom w:val="single" w:sz="4" w:space="0" w:color="auto"/>
              <w:right w:val="single" w:sz="4" w:space="0" w:color="auto"/>
            </w:tcBorders>
            <w:vAlign w:val="center"/>
          </w:tcPr>
          <w:p w14:paraId="416B1159" w14:textId="77777777" w:rsidR="003C02CA" w:rsidRPr="002707E5" w:rsidRDefault="003C02CA" w:rsidP="002F7BAE">
            <w:pPr>
              <w:spacing w:after="0"/>
              <w:jc w:val="right"/>
              <w:rPr>
                <w:rFonts w:cs="Arial"/>
                <w:lang w:eastAsia="en-GB"/>
              </w:rPr>
            </w:pPr>
            <w:r w:rsidRPr="002707E5">
              <w:rPr>
                <w:rFonts w:cs="Arial"/>
                <w:lang w:eastAsia="en-GB"/>
              </w:rPr>
              <w:t>0.0%</w:t>
            </w:r>
          </w:p>
        </w:tc>
      </w:tr>
      <w:tr w:rsidR="003C02CA" w:rsidRPr="00CA0113" w14:paraId="680F4DDE" w14:textId="77777777" w:rsidTr="002F7BAE">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6DB339E5" w14:textId="77777777" w:rsidR="003C02CA" w:rsidRPr="00CA0113" w:rsidRDefault="003C02CA" w:rsidP="002F7BAE">
            <w:pPr>
              <w:spacing w:after="0"/>
              <w:rPr>
                <w:rFonts w:cs="Arial"/>
                <w:lang w:eastAsia="en-GB"/>
              </w:rPr>
            </w:pPr>
            <w:r w:rsidRPr="00CA0113">
              <w:rPr>
                <w:rFonts w:cs="Arial"/>
                <w:lang w:eastAsia="en-GB"/>
              </w:rPr>
              <w:t>Council Tax Increases</w:t>
            </w:r>
          </w:p>
        </w:tc>
        <w:tc>
          <w:tcPr>
            <w:tcW w:w="1276" w:type="dxa"/>
            <w:tcBorders>
              <w:top w:val="nil"/>
              <w:left w:val="nil"/>
              <w:bottom w:val="single" w:sz="4" w:space="0" w:color="auto"/>
              <w:right w:val="single" w:sz="4" w:space="0" w:color="auto"/>
            </w:tcBorders>
            <w:shd w:val="clear" w:color="auto" w:fill="auto"/>
            <w:noWrap/>
            <w:vAlign w:val="center"/>
          </w:tcPr>
          <w:p w14:paraId="0FC1068C" w14:textId="77777777" w:rsidR="003C02CA" w:rsidRPr="00CA0113" w:rsidRDefault="003C02CA" w:rsidP="002F7BAE">
            <w:pPr>
              <w:spacing w:after="0"/>
              <w:jc w:val="right"/>
              <w:rPr>
                <w:rFonts w:cs="Arial"/>
                <w:lang w:eastAsia="en-GB"/>
              </w:rPr>
            </w:pPr>
            <w:r w:rsidRPr="00CA0113">
              <w:rPr>
                <w:rFonts w:cs="Arial"/>
                <w:lang w:eastAsia="en-GB"/>
              </w:rPr>
              <w:t>0.00%</w:t>
            </w:r>
          </w:p>
        </w:tc>
        <w:tc>
          <w:tcPr>
            <w:tcW w:w="1337" w:type="dxa"/>
            <w:tcBorders>
              <w:top w:val="nil"/>
              <w:left w:val="nil"/>
              <w:bottom w:val="single" w:sz="4" w:space="0" w:color="auto"/>
              <w:right w:val="single" w:sz="4" w:space="0" w:color="auto"/>
            </w:tcBorders>
            <w:shd w:val="clear" w:color="auto" w:fill="auto"/>
            <w:noWrap/>
            <w:vAlign w:val="center"/>
          </w:tcPr>
          <w:p w14:paraId="7B24E22D" w14:textId="77777777" w:rsidR="003C02CA" w:rsidRPr="000F23A2" w:rsidRDefault="003C02CA" w:rsidP="002F7BAE">
            <w:pPr>
              <w:spacing w:after="0"/>
              <w:jc w:val="right"/>
              <w:rPr>
                <w:rFonts w:cs="Arial"/>
                <w:lang w:eastAsia="en-GB"/>
              </w:rPr>
            </w:pPr>
            <w:r w:rsidRPr="000F23A2">
              <w:rPr>
                <w:rFonts w:cs="Arial"/>
                <w:lang w:eastAsia="en-GB"/>
              </w:rPr>
              <w:t>0.00%</w:t>
            </w:r>
          </w:p>
        </w:tc>
        <w:tc>
          <w:tcPr>
            <w:tcW w:w="1337" w:type="dxa"/>
            <w:tcBorders>
              <w:top w:val="nil"/>
              <w:left w:val="nil"/>
              <w:bottom w:val="single" w:sz="4" w:space="0" w:color="auto"/>
              <w:right w:val="single" w:sz="4" w:space="0" w:color="auto"/>
            </w:tcBorders>
            <w:vAlign w:val="center"/>
          </w:tcPr>
          <w:p w14:paraId="5105D6D3" w14:textId="77777777" w:rsidR="003C02CA" w:rsidRPr="000F23A2" w:rsidRDefault="003C02CA" w:rsidP="002F7BAE">
            <w:pPr>
              <w:spacing w:after="0"/>
              <w:jc w:val="right"/>
              <w:rPr>
                <w:rFonts w:cs="Arial"/>
                <w:lang w:eastAsia="en-GB"/>
              </w:rPr>
            </w:pPr>
            <w:r w:rsidRPr="000F23A2">
              <w:rPr>
                <w:rFonts w:cs="Arial"/>
                <w:lang w:eastAsia="en-GB"/>
              </w:rPr>
              <w:t>1.99%</w:t>
            </w:r>
          </w:p>
        </w:tc>
      </w:tr>
      <w:tr w:rsidR="003C02CA" w:rsidRPr="00CA0113" w14:paraId="23BB7A77" w14:textId="77777777" w:rsidTr="002F7BAE">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2E2B2919" w14:textId="77777777" w:rsidR="003C02CA" w:rsidRPr="00CA0113" w:rsidRDefault="003C02CA" w:rsidP="002F7BAE">
            <w:pPr>
              <w:spacing w:after="0"/>
              <w:rPr>
                <w:rFonts w:cs="Arial"/>
                <w:lang w:eastAsia="en-GB"/>
              </w:rPr>
            </w:pPr>
            <w:r w:rsidRPr="00CA0113">
              <w:rPr>
                <w:rFonts w:cs="Arial"/>
                <w:lang w:eastAsia="en-GB"/>
              </w:rPr>
              <w:t>Increase in Retained Business Rates through Growth</w:t>
            </w:r>
          </w:p>
        </w:tc>
        <w:tc>
          <w:tcPr>
            <w:tcW w:w="1276" w:type="dxa"/>
            <w:tcBorders>
              <w:top w:val="nil"/>
              <w:left w:val="nil"/>
              <w:bottom w:val="single" w:sz="4" w:space="0" w:color="auto"/>
              <w:right w:val="single" w:sz="4" w:space="0" w:color="auto"/>
            </w:tcBorders>
            <w:shd w:val="clear" w:color="auto" w:fill="auto"/>
            <w:noWrap/>
            <w:vAlign w:val="center"/>
          </w:tcPr>
          <w:p w14:paraId="48D469B1" w14:textId="77777777" w:rsidR="003C02CA" w:rsidRPr="000F23A2" w:rsidRDefault="003C02CA" w:rsidP="002F7BAE">
            <w:pPr>
              <w:spacing w:after="0"/>
              <w:jc w:val="right"/>
              <w:rPr>
                <w:rFonts w:cs="Arial"/>
                <w:lang w:eastAsia="en-GB"/>
              </w:rPr>
            </w:pPr>
            <w:r w:rsidRPr="000F23A2">
              <w:rPr>
                <w:rFonts w:cs="Arial"/>
                <w:lang w:eastAsia="en-GB"/>
              </w:rPr>
              <w:t>0.0%</w:t>
            </w:r>
          </w:p>
        </w:tc>
        <w:tc>
          <w:tcPr>
            <w:tcW w:w="1337" w:type="dxa"/>
            <w:tcBorders>
              <w:top w:val="nil"/>
              <w:left w:val="nil"/>
              <w:bottom w:val="single" w:sz="4" w:space="0" w:color="auto"/>
              <w:right w:val="single" w:sz="4" w:space="0" w:color="auto"/>
            </w:tcBorders>
            <w:shd w:val="clear" w:color="auto" w:fill="auto"/>
            <w:noWrap/>
            <w:vAlign w:val="center"/>
          </w:tcPr>
          <w:p w14:paraId="17E77B54" w14:textId="77777777" w:rsidR="003C02CA" w:rsidRPr="000F23A2" w:rsidRDefault="003C02CA" w:rsidP="002F7BAE">
            <w:pPr>
              <w:spacing w:after="0"/>
              <w:jc w:val="right"/>
              <w:rPr>
                <w:rFonts w:cs="Arial"/>
                <w:lang w:eastAsia="en-GB"/>
              </w:rPr>
            </w:pPr>
            <w:r w:rsidRPr="000F23A2">
              <w:rPr>
                <w:rFonts w:cs="Arial"/>
                <w:lang w:eastAsia="en-GB"/>
              </w:rPr>
              <w:t>0.0%</w:t>
            </w:r>
          </w:p>
        </w:tc>
        <w:tc>
          <w:tcPr>
            <w:tcW w:w="1337" w:type="dxa"/>
            <w:tcBorders>
              <w:top w:val="nil"/>
              <w:left w:val="nil"/>
              <w:bottom w:val="single" w:sz="4" w:space="0" w:color="auto"/>
              <w:right w:val="single" w:sz="4" w:space="0" w:color="auto"/>
            </w:tcBorders>
            <w:vAlign w:val="center"/>
          </w:tcPr>
          <w:p w14:paraId="2672F8B2" w14:textId="77777777" w:rsidR="003C02CA" w:rsidRPr="000F23A2" w:rsidRDefault="003C02CA" w:rsidP="002F7BAE">
            <w:pPr>
              <w:spacing w:after="0"/>
              <w:jc w:val="right"/>
              <w:rPr>
                <w:rFonts w:cs="Arial"/>
                <w:lang w:eastAsia="en-GB"/>
              </w:rPr>
            </w:pPr>
            <w:r w:rsidRPr="000F23A2">
              <w:rPr>
                <w:rFonts w:cs="Arial"/>
                <w:lang w:eastAsia="en-GB"/>
              </w:rPr>
              <w:t>0.0%</w:t>
            </w:r>
          </w:p>
        </w:tc>
      </w:tr>
      <w:tr w:rsidR="003C02CA" w:rsidRPr="00CA0113" w14:paraId="2F01984E" w14:textId="77777777" w:rsidTr="002F7BAE">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6A55EABD" w14:textId="77777777" w:rsidR="003C02CA" w:rsidRPr="00CA0113" w:rsidRDefault="003C02CA" w:rsidP="002F7BAE">
            <w:pPr>
              <w:spacing w:after="0"/>
              <w:rPr>
                <w:rFonts w:cs="Arial"/>
                <w:lang w:eastAsia="en-GB"/>
              </w:rPr>
            </w:pPr>
            <w:r>
              <w:rPr>
                <w:rFonts w:cs="Arial"/>
                <w:lang w:eastAsia="en-GB"/>
              </w:rPr>
              <w:t>F</w:t>
            </w:r>
            <w:r w:rsidRPr="00FC5742">
              <w:rPr>
                <w:rFonts w:cs="Arial"/>
                <w:lang w:eastAsia="en-GB"/>
              </w:rPr>
              <w:t>inancial benefit of membership of the Lancashire Business Rate Pool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1B47BF" w14:textId="77777777" w:rsidR="003C02CA" w:rsidRPr="00D0073C" w:rsidRDefault="003C02CA" w:rsidP="002F7BAE">
            <w:pPr>
              <w:spacing w:after="0"/>
              <w:jc w:val="right"/>
              <w:rPr>
                <w:rFonts w:cs="Arial"/>
                <w:lang w:eastAsia="en-GB"/>
              </w:rPr>
            </w:pPr>
            <w:r w:rsidRPr="00D0073C">
              <w:rPr>
                <w:rFonts w:cs="Arial"/>
                <w:lang w:eastAsia="en-GB"/>
              </w:rPr>
              <w:t>£1.396m</w:t>
            </w:r>
          </w:p>
        </w:tc>
        <w:tc>
          <w:tcPr>
            <w:tcW w:w="1337" w:type="dxa"/>
            <w:tcBorders>
              <w:top w:val="single" w:sz="4" w:space="0" w:color="auto"/>
              <w:left w:val="nil"/>
              <w:bottom w:val="single" w:sz="4" w:space="0" w:color="auto"/>
              <w:right w:val="single" w:sz="4" w:space="0" w:color="auto"/>
            </w:tcBorders>
            <w:shd w:val="clear" w:color="auto" w:fill="auto"/>
            <w:noWrap/>
            <w:vAlign w:val="center"/>
          </w:tcPr>
          <w:p w14:paraId="1A9C6A97" w14:textId="77777777" w:rsidR="003C02CA" w:rsidRPr="00D0073C" w:rsidRDefault="003C02CA" w:rsidP="002F7BAE">
            <w:pPr>
              <w:spacing w:after="0"/>
              <w:jc w:val="right"/>
              <w:rPr>
                <w:rFonts w:cs="Arial"/>
                <w:lang w:eastAsia="en-GB"/>
              </w:rPr>
            </w:pPr>
            <w:r w:rsidRPr="00D0073C">
              <w:rPr>
                <w:rFonts w:cs="Arial"/>
                <w:lang w:eastAsia="en-GB"/>
              </w:rPr>
              <w:t>£1.396m</w:t>
            </w:r>
          </w:p>
        </w:tc>
        <w:tc>
          <w:tcPr>
            <w:tcW w:w="1337" w:type="dxa"/>
            <w:tcBorders>
              <w:top w:val="single" w:sz="4" w:space="0" w:color="auto"/>
              <w:left w:val="nil"/>
              <w:bottom w:val="single" w:sz="4" w:space="0" w:color="auto"/>
              <w:right w:val="single" w:sz="4" w:space="0" w:color="auto"/>
            </w:tcBorders>
            <w:shd w:val="clear" w:color="auto" w:fill="auto"/>
            <w:vAlign w:val="center"/>
          </w:tcPr>
          <w:p w14:paraId="7DB1F499" w14:textId="77777777" w:rsidR="003C02CA" w:rsidRPr="00D0073C" w:rsidRDefault="003C02CA" w:rsidP="002F7BAE">
            <w:pPr>
              <w:spacing w:after="0"/>
              <w:jc w:val="right"/>
              <w:rPr>
                <w:rFonts w:cs="Arial"/>
                <w:lang w:eastAsia="en-GB"/>
              </w:rPr>
            </w:pPr>
            <w:r w:rsidRPr="00D0073C">
              <w:rPr>
                <w:rFonts w:cs="Arial"/>
                <w:lang w:eastAsia="en-GB"/>
              </w:rPr>
              <w:t>£1.396m</w:t>
            </w:r>
          </w:p>
        </w:tc>
      </w:tr>
      <w:tr w:rsidR="003C02CA" w:rsidRPr="00CA0113" w14:paraId="2D0CC778" w14:textId="77777777" w:rsidTr="002F7BAE">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3CB296" w14:textId="77777777" w:rsidR="003C02CA" w:rsidRPr="00CA0113" w:rsidRDefault="003C02CA" w:rsidP="002F7BAE">
            <w:pPr>
              <w:spacing w:after="0"/>
              <w:rPr>
                <w:rFonts w:cs="Arial"/>
                <w:lang w:eastAsia="en-GB"/>
              </w:rPr>
            </w:pPr>
            <w:r w:rsidRPr="00CA0113">
              <w:rPr>
                <w:rFonts w:cs="Arial"/>
                <w:lang w:eastAsia="en-GB"/>
              </w:rPr>
              <w:t>New Homes Bonus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9C24EC" w14:textId="77777777" w:rsidR="003C02CA" w:rsidRPr="000F23A2" w:rsidRDefault="003C02CA" w:rsidP="002F7BAE">
            <w:pPr>
              <w:spacing w:after="0"/>
              <w:jc w:val="right"/>
              <w:rPr>
                <w:rFonts w:cs="Arial"/>
                <w:lang w:eastAsia="en-GB"/>
              </w:rPr>
            </w:pPr>
            <w:r w:rsidRPr="000F23A2">
              <w:rPr>
                <w:rFonts w:cs="Arial"/>
                <w:lang w:eastAsia="en-GB"/>
              </w:rPr>
              <w:t>£802k</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0B41321A" w14:textId="77777777" w:rsidR="003C02CA" w:rsidRPr="000F23A2" w:rsidRDefault="003C02CA" w:rsidP="002F7BAE">
            <w:pPr>
              <w:spacing w:after="0"/>
              <w:jc w:val="right"/>
              <w:rPr>
                <w:rFonts w:cs="Arial"/>
                <w:lang w:eastAsia="en-GB"/>
              </w:rPr>
            </w:pPr>
            <w:r w:rsidRPr="000F23A2">
              <w:rPr>
                <w:rFonts w:cs="Arial"/>
                <w:lang w:eastAsia="en-GB"/>
              </w:rPr>
              <w:t>£0k</w:t>
            </w:r>
          </w:p>
        </w:tc>
        <w:tc>
          <w:tcPr>
            <w:tcW w:w="1337" w:type="dxa"/>
            <w:tcBorders>
              <w:top w:val="single" w:sz="4" w:space="0" w:color="auto"/>
              <w:left w:val="nil"/>
              <w:bottom w:val="single" w:sz="4" w:space="0" w:color="auto"/>
              <w:right w:val="single" w:sz="4" w:space="0" w:color="auto"/>
            </w:tcBorders>
            <w:shd w:val="clear" w:color="auto" w:fill="auto"/>
            <w:vAlign w:val="center"/>
          </w:tcPr>
          <w:p w14:paraId="5F2BC40B" w14:textId="77777777" w:rsidR="003C02CA" w:rsidRPr="00CA0113" w:rsidRDefault="003C02CA" w:rsidP="002F7BAE">
            <w:pPr>
              <w:spacing w:after="0"/>
              <w:jc w:val="right"/>
              <w:rPr>
                <w:rFonts w:cs="Arial"/>
                <w:lang w:eastAsia="en-GB"/>
              </w:rPr>
            </w:pPr>
            <w:r w:rsidRPr="00CA0113">
              <w:rPr>
                <w:rFonts w:cs="Arial"/>
                <w:lang w:eastAsia="en-GB"/>
              </w:rPr>
              <w:t>£0</w:t>
            </w:r>
            <w:r>
              <w:rPr>
                <w:rFonts w:cs="Arial"/>
                <w:lang w:eastAsia="en-GB"/>
              </w:rPr>
              <w:t>k</w:t>
            </w:r>
          </w:p>
        </w:tc>
      </w:tr>
      <w:tr w:rsidR="003C02CA" w:rsidRPr="00CA0113" w14:paraId="104C139D" w14:textId="77777777" w:rsidTr="002F7BAE">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5E4D0887" w14:textId="77777777" w:rsidR="003C02CA" w:rsidRPr="00CA0113" w:rsidRDefault="003C02CA" w:rsidP="002F7BAE">
            <w:pPr>
              <w:spacing w:after="0"/>
              <w:rPr>
                <w:rFonts w:cs="Arial"/>
                <w:lang w:eastAsia="en-GB"/>
              </w:rPr>
            </w:pPr>
            <w:r>
              <w:rPr>
                <w:rFonts w:cs="Arial"/>
                <w:lang w:eastAsia="en-GB"/>
              </w:rPr>
              <w:t>Lower Tier Services Grant and Services Grant</w:t>
            </w:r>
          </w:p>
        </w:tc>
        <w:tc>
          <w:tcPr>
            <w:tcW w:w="1276" w:type="dxa"/>
            <w:tcBorders>
              <w:top w:val="nil"/>
              <w:left w:val="nil"/>
              <w:bottom w:val="single" w:sz="4" w:space="0" w:color="auto"/>
              <w:right w:val="single" w:sz="4" w:space="0" w:color="auto"/>
            </w:tcBorders>
            <w:shd w:val="clear" w:color="auto" w:fill="auto"/>
            <w:noWrap/>
            <w:vAlign w:val="center"/>
          </w:tcPr>
          <w:p w14:paraId="4C4D1D40" w14:textId="77777777" w:rsidR="003C02CA" w:rsidRPr="000F23A2" w:rsidRDefault="003C02CA" w:rsidP="002F7BAE">
            <w:pPr>
              <w:spacing w:after="0"/>
              <w:jc w:val="right"/>
              <w:rPr>
                <w:rFonts w:cs="Arial"/>
                <w:lang w:eastAsia="en-GB"/>
              </w:rPr>
            </w:pPr>
            <w:r w:rsidRPr="000F23A2">
              <w:rPr>
                <w:rFonts w:cs="Arial"/>
                <w:lang w:eastAsia="en-GB"/>
              </w:rPr>
              <w:t>£269k</w:t>
            </w:r>
          </w:p>
        </w:tc>
        <w:tc>
          <w:tcPr>
            <w:tcW w:w="1337" w:type="dxa"/>
            <w:tcBorders>
              <w:top w:val="nil"/>
              <w:left w:val="nil"/>
              <w:bottom w:val="single" w:sz="4" w:space="0" w:color="auto"/>
              <w:right w:val="single" w:sz="4" w:space="0" w:color="auto"/>
            </w:tcBorders>
            <w:shd w:val="clear" w:color="auto" w:fill="auto"/>
            <w:noWrap/>
            <w:vAlign w:val="center"/>
          </w:tcPr>
          <w:p w14:paraId="456803E8" w14:textId="77777777" w:rsidR="003C02CA" w:rsidRPr="000F23A2" w:rsidRDefault="003C02CA" w:rsidP="002F7BAE">
            <w:pPr>
              <w:spacing w:after="0"/>
              <w:jc w:val="right"/>
              <w:rPr>
                <w:rFonts w:cs="Arial"/>
                <w:lang w:eastAsia="en-GB"/>
              </w:rPr>
            </w:pPr>
            <w:r w:rsidRPr="000F23A2">
              <w:rPr>
                <w:rFonts w:cs="Arial"/>
                <w:lang w:eastAsia="en-GB"/>
              </w:rPr>
              <w:t>£0k</w:t>
            </w:r>
          </w:p>
        </w:tc>
        <w:tc>
          <w:tcPr>
            <w:tcW w:w="1337" w:type="dxa"/>
            <w:tcBorders>
              <w:top w:val="nil"/>
              <w:left w:val="nil"/>
              <w:bottom w:val="single" w:sz="4" w:space="0" w:color="auto"/>
              <w:right w:val="single" w:sz="4" w:space="0" w:color="auto"/>
            </w:tcBorders>
            <w:vAlign w:val="center"/>
          </w:tcPr>
          <w:p w14:paraId="426AA516" w14:textId="77777777" w:rsidR="003C02CA" w:rsidRPr="00CA0113" w:rsidRDefault="003C02CA" w:rsidP="002F7BAE">
            <w:pPr>
              <w:spacing w:after="0"/>
              <w:jc w:val="right"/>
              <w:rPr>
                <w:rFonts w:cs="Arial"/>
                <w:lang w:eastAsia="en-GB"/>
              </w:rPr>
            </w:pPr>
            <w:r>
              <w:rPr>
                <w:rFonts w:cs="Arial"/>
                <w:lang w:eastAsia="en-GB"/>
              </w:rPr>
              <w:t>£0k</w:t>
            </w:r>
          </w:p>
        </w:tc>
      </w:tr>
      <w:tr w:rsidR="003C02CA" w:rsidRPr="00CA0113" w14:paraId="7041764B" w14:textId="77777777" w:rsidTr="002F7BAE">
        <w:trPr>
          <w:trHeight w:val="454"/>
        </w:trPr>
        <w:tc>
          <w:tcPr>
            <w:tcW w:w="3181" w:type="dxa"/>
            <w:tcBorders>
              <w:top w:val="nil"/>
              <w:left w:val="single" w:sz="4" w:space="0" w:color="auto"/>
              <w:bottom w:val="single" w:sz="4" w:space="0" w:color="auto"/>
              <w:right w:val="nil"/>
            </w:tcBorders>
            <w:shd w:val="clear" w:color="auto" w:fill="auto"/>
            <w:noWrap/>
            <w:vAlign w:val="center"/>
            <w:hideMark/>
          </w:tcPr>
          <w:p w14:paraId="5199209C" w14:textId="77777777" w:rsidR="003C02CA" w:rsidRPr="00CA0113" w:rsidRDefault="003C02CA" w:rsidP="002F7BAE">
            <w:pPr>
              <w:spacing w:after="0"/>
              <w:rPr>
                <w:rFonts w:cs="Arial"/>
                <w:lang w:eastAsia="en-GB"/>
              </w:rPr>
            </w:pPr>
            <w:r w:rsidRPr="00CA0113">
              <w:rPr>
                <w:rFonts w:cs="Arial"/>
                <w:lang w:eastAsia="en-GB"/>
              </w:rPr>
              <w:t>Future Service Pension Rate</w:t>
            </w:r>
          </w:p>
        </w:tc>
        <w:tc>
          <w:tcPr>
            <w:tcW w:w="2494" w:type="dxa"/>
            <w:tcBorders>
              <w:top w:val="nil"/>
              <w:left w:val="nil"/>
              <w:bottom w:val="single" w:sz="4" w:space="0" w:color="auto"/>
              <w:right w:val="single" w:sz="4" w:space="0" w:color="auto"/>
            </w:tcBorders>
            <w:shd w:val="clear" w:color="auto" w:fill="auto"/>
            <w:noWrap/>
            <w:vAlign w:val="center"/>
            <w:hideMark/>
          </w:tcPr>
          <w:p w14:paraId="7A84F1CF" w14:textId="77777777" w:rsidR="003C02CA" w:rsidRPr="00CA0113" w:rsidRDefault="003C02CA" w:rsidP="002F7BAE">
            <w:pPr>
              <w:spacing w:after="0"/>
              <w:rPr>
                <w:rFonts w:cs="Arial"/>
                <w:lang w:eastAsia="en-GB"/>
              </w:rPr>
            </w:pPr>
            <w:r w:rsidRPr="00CA0113">
              <w:rPr>
                <w:rFonts w:cs="Arial"/>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3D9D0A" w14:textId="77777777" w:rsidR="003C02CA" w:rsidRPr="00CA0113" w:rsidRDefault="003C02CA" w:rsidP="002F7BAE">
            <w:pPr>
              <w:spacing w:after="0"/>
              <w:jc w:val="right"/>
              <w:rPr>
                <w:rFonts w:cs="Arial"/>
                <w:lang w:eastAsia="en-GB"/>
              </w:rPr>
            </w:pPr>
            <w:r w:rsidRPr="00CA0113">
              <w:rPr>
                <w:rFonts w:cs="Arial"/>
                <w:lang w:eastAsia="en-GB"/>
              </w:rPr>
              <w:t>1</w:t>
            </w:r>
            <w:r>
              <w:rPr>
                <w:rFonts w:cs="Arial"/>
                <w:lang w:eastAsia="en-GB"/>
              </w:rPr>
              <w:t>7.1</w:t>
            </w:r>
            <w:r w:rsidRPr="00CA0113">
              <w:rPr>
                <w:rFonts w:cs="Arial"/>
                <w:lang w:eastAsia="en-GB"/>
              </w:rPr>
              <w:t>%</w:t>
            </w:r>
          </w:p>
        </w:tc>
        <w:tc>
          <w:tcPr>
            <w:tcW w:w="1337" w:type="dxa"/>
            <w:tcBorders>
              <w:top w:val="nil"/>
              <w:left w:val="nil"/>
              <w:bottom w:val="single" w:sz="4" w:space="0" w:color="auto"/>
              <w:right w:val="single" w:sz="4" w:space="0" w:color="auto"/>
            </w:tcBorders>
            <w:shd w:val="clear" w:color="auto" w:fill="auto"/>
            <w:noWrap/>
            <w:vAlign w:val="center"/>
            <w:hideMark/>
          </w:tcPr>
          <w:p w14:paraId="2BBE78CD" w14:textId="77777777" w:rsidR="003C02CA" w:rsidRPr="00CA0113" w:rsidRDefault="003C02CA" w:rsidP="002F7BAE">
            <w:pPr>
              <w:spacing w:after="0"/>
              <w:jc w:val="right"/>
              <w:rPr>
                <w:rFonts w:cs="Arial"/>
                <w:lang w:eastAsia="en-GB"/>
              </w:rPr>
            </w:pPr>
            <w:r w:rsidRPr="00CA0113">
              <w:rPr>
                <w:rFonts w:cs="Arial"/>
                <w:lang w:eastAsia="en-GB"/>
              </w:rPr>
              <w:t>1</w:t>
            </w:r>
            <w:r>
              <w:rPr>
                <w:rFonts w:cs="Arial"/>
                <w:lang w:eastAsia="en-GB"/>
              </w:rPr>
              <w:t>7.1</w:t>
            </w:r>
            <w:r w:rsidRPr="00CA0113">
              <w:rPr>
                <w:rFonts w:cs="Arial"/>
                <w:lang w:eastAsia="en-GB"/>
              </w:rPr>
              <w:t>%</w:t>
            </w:r>
          </w:p>
        </w:tc>
        <w:tc>
          <w:tcPr>
            <w:tcW w:w="1337" w:type="dxa"/>
            <w:tcBorders>
              <w:top w:val="nil"/>
              <w:left w:val="nil"/>
              <w:bottom w:val="single" w:sz="4" w:space="0" w:color="auto"/>
              <w:right w:val="single" w:sz="4" w:space="0" w:color="auto"/>
            </w:tcBorders>
            <w:vAlign w:val="center"/>
          </w:tcPr>
          <w:p w14:paraId="452D2717" w14:textId="77777777" w:rsidR="003C02CA" w:rsidRPr="00CA0113" w:rsidRDefault="003C02CA" w:rsidP="002F7BAE">
            <w:pPr>
              <w:spacing w:after="0"/>
              <w:jc w:val="right"/>
              <w:rPr>
                <w:rFonts w:cs="Arial"/>
                <w:lang w:eastAsia="en-GB"/>
              </w:rPr>
            </w:pPr>
            <w:r w:rsidRPr="00CA0113">
              <w:rPr>
                <w:rFonts w:cs="Arial"/>
                <w:lang w:eastAsia="en-GB"/>
              </w:rPr>
              <w:t>1</w:t>
            </w:r>
            <w:r>
              <w:rPr>
                <w:rFonts w:cs="Arial"/>
                <w:lang w:eastAsia="en-GB"/>
              </w:rPr>
              <w:t>7.1</w:t>
            </w:r>
            <w:r w:rsidRPr="00CA0113">
              <w:rPr>
                <w:rFonts w:cs="Arial"/>
                <w:lang w:eastAsia="en-GB"/>
              </w:rPr>
              <w:t>%</w:t>
            </w:r>
          </w:p>
        </w:tc>
      </w:tr>
      <w:tr w:rsidR="003C02CA" w:rsidRPr="00CA0113" w14:paraId="354983D3" w14:textId="77777777" w:rsidTr="002F7BAE">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0C64" w14:textId="77777777" w:rsidR="003C02CA" w:rsidRPr="00CA0113" w:rsidRDefault="003C02CA" w:rsidP="002F7BAE">
            <w:pPr>
              <w:spacing w:after="0"/>
              <w:rPr>
                <w:rFonts w:cs="Arial"/>
                <w:lang w:eastAsia="en-GB"/>
              </w:rPr>
            </w:pPr>
            <w:r w:rsidRPr="00CA0113">
              <w:rPr>
                <w:rFonts w:cs="Arial"/>
                <w:lang w:eastAsia="en-GB"/>
              </w:rPr>
              <w:t>Pay Award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3C1699" w14:textId="77777777" w:rsidR="003C02CA" w:rsidRPr="00CA0113" w:rsidRDefault="003C02CA" w:rsidP="002F7BAE">
            <w:pPr>
              <w:spacing w:after="0"/>
              <w:jc w:val="right"/>
              <w:rPr>
                <w:rFonts w:cs="Arial"/>
                <w:lang w:eastAsia="en-GB"/>
              </w:rPr>
            </w:pPr>
            <w:r>
              <w:rPr>
                <w:rFonts w:cs="Arial"/>
                <w:lang w:eastAsia="en-GB"/>
              </w:rPr>
              <w:t>2</w:t>
            </w:r>
            <w:r w:rsidRPr="00CA0113">
              <w:rPr>
                <w:rFonts w:cs="Arial"/>
                <w:lang w:eastAsia="en-GB"/>
              </w:rPr>
              <w:t>%</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1B3B9CE3" w14:textId="77777777" w:rsidR="003C02CA" w:rsidRPr="00CA0113" w:rsidRDefault="003C02CA" w:rsidP="002F7BAE">
            <w:pPr>
              <w:spacing w:after="0"/>
              <w:jc w:val="right"/>
              <w:rPr>
                <w:rFonts w:cs="Arial"/>
                <w:lang w:eastAsia="en-GB"/>
              </w:rPr>
            </w:pPr>
            <w:r w:rsidRPr="00CA0113">
              <w:rPr>
                <w:rFonts w:cs="Arial"/>
                <w:lang w:eastAsia="en-GB"/>
              </w:rPr>
              <w:t>2%</w:t>
            </w:r>
          </w:p>
        </w:tc>
        <w:tc>
          <w:tcPr>
            <w:tcW w:w="1337" w:type="dxa"/>
            <w:tcBorders>
              <w:top w:val="single" w:sz="4" w:space="0" w:color="auto"/>
              <w:left w:val="nil"/>
              <w:bottom w:val="single" w:sz="4" w:space="0" w:color="auto"/>
              <w:right w:val="single" w:sz="4" w:space="0" w:color="auto"/>
            </w:tcBorders>
            <w:vAlign w:val="center"/>
          </w:tcPr>
          <w:p w14:paraId="58FE77DF" w14:textId="77777777" w:rsidR="003C02CA" w:rsidRPr="00CA0113" w:rsidRDefault="003C02CA" w:rsidP="002F7BAE">
            <w:pPr>
              <w:spacing w:after="0"/>
              <w:jc w:val="right"/>
              <w:rPr>
                <w:rFonts w:cs="Arial"/>
                <w:lang w:eastAsia="en-GB"/>
              </w:rPr>
            </w:pPr>
            <w:r w:rsidRPr="00CA0113">
              <w:rPr>
                <w:rFonts w:cs="Arial"/>
                <w:lang w:eastAsia="en-GB"/>
              </w:rPr>
              <w:t>2%</w:t>
            </w:r>
          </w:p>
        </w:tc>
      </w:tr>
    </w:tbl>
    <w:p w14:paraId="6052F903" w14:textId="77777777" w:rsidR="003C02CA" w:rsidRPr="009E5133" w:rsidRDefault="003C02CA" w:rsidP="003C02CA">
      <w:pPr>
        <w:pBdr>
          <w:top w:val="single" w:sz="2" w:space="1" w:color="FFFFFF"/>
          <w:left w:val="single" w:sz="2" w:space="0" w:color="FFFFFF"/>
          <w:bottom w:val="single" w:sz="2" w:space="1" w:color="FFFFFF"/>
          <w:right w:val="single" w:sz="2" w:space="4" w:color="FFFFFF"/>
        </w:pBdr>
        <w:tabs>
          <w:tab w:val="left" w:pos="567"/>
        </w:tabs>
        <w:rPr>
          <w:iCs/>
          <w:sz w:val="18"/>
        </w:rPr>
      </w:pPr>
    </w:p>
    <w:p w14:paraId="6A27CD3E" w14:textId="77777777" w:rsidR="003C02CA" w:rsidRPr="009E5133" w:rsidRDefault="003C02CA" w:rsidP="003C02CA">
      <w:pPr>
        <w:pStyle w:val="ListParagraph"/>
        <w:numPr>
          <w:ilvl w:val="0"/>
          <w:numId w:val="11"/>
        </w:numPr>
        <w:spacing w:after="0" w:line="240" w:lineRule="auto"/>
        <w:jc w:val="both"/>
      </w:pPr>
      <w:r w:rsidRPr="009E5133">
        <w:t xml:space="preserve">A detailed breakdown of the three-year budget, including the gross budget deficit is provided in </w:t>
      </w:r>
      <w:r w:rsidRPr="009E5133">
        <w:rPr>
          <w:b/>
          <w:bCs/>
        </w:rPr>
        <w:t xml:space="preserve">Appendix D, </w:t>
      </w:r>
      <w:r>
        <w:rPr>
          <w:b/>
          <w:bCs/>
        </w:rPr>
        <w:t>‘</w:t>
      </w:r>
      <w:r w:rsidRPr="009E5133">
        <w:rPr>
          <w:i/>
          <w:iCs/>
        </w:rPr>
        <w:t>Cumulative Budget Deficit and Budget Strategy 2021/22 to 2024/25’</w:t>
      </w:r>
      <w:r w:rsidRPr="009E5133">
        <w:t xml:space="preserve"> of this agenda. Included in this appendix are the revenue budget implications regarding the Council’s capital projects.</w:t>
      </w:r>
    </w:p>
    <w:p w14:paraId="13F9A59C" w14:textId="77777777" w:rsidR="003C02CA" w:rsidRPr="009E5133" w:rsidRDefault="003C02CA" w:rsidP="003C02CA">
      <w:pPr>
        <w:pStyle w:val="ListParagraph"/>
        <w:spacing w:after="0" w:line="240" w:lineRule="auto"/>
        <w:ind w:left="567"/>
        <w:jc w:val="both"/>
      </w:pPr>
    </w:p>
    <w:p w14:paraId="6B52FC3B" w14:textId="77777777" w:rsidR="003C02CA" w:rsidRPr="009E5133" w:rsidRDefault="003C02CA" w:rsidP="003C02CA">
      <w:pPr>
        <w:pStyle w:val="ListParagraph"/>
        <w:numPr>
          <w:ilvl w:val="0"/>
          <w:numId w:val="11"/>
        </w:numPr>
        <w:spacing w:after="0" w:line="240" w:lineRule="auto"/>
        <w:jc w:val="both"/>
      </w:pPr>
      <w:r w:rsidRPr="009E5133">
        <w:t xml:space="preserve">As with other assumptions it should be noted that the profile of expenditure and income is potentially subject to change. </w:t>
      </w:r>
    </w:p>
    <w:p w14:paraId="69A343DD" w14:textId="77777777" w:rsidR="003C02CA" w:rsidRDefault="003C02CA" w:rsidP="003C02CA">
      <w:pPr>
        <w:pStyle w:val="ListParagraph"/>
      </w:pPr>
    </w:p>
    <w:p w14:paraId="376F6CCC" w14:textId="77777777" w:rsidR="003C02CA" w:rsidRPr="009E5133" w:rsidRDefault="003C02CA" w:rsidP="003C02CA">
      <w:pPr>
        <w:pStyle w:val="ListParagraph"/>
        <w:numPr>
          <w:ilvl w:val="0"/>
          <w:numId w:val="11"/>
        </w:numPr>
        <w:spacing w:after="0" w:line="240" w:lineRule="auto"/>
        <w:jc w:val="both"/>
      </w:pPr>
      <w:r w:rsidRPr="001C7F67">
        <w:t xml:space="preserve">Risks surrounding these budget assumptions may be managed </w:t>
      </w:r>
      <w:proofErr w:type="gramStart"/>
      <w:r w:rsidRPr="001C7F67">
        <w:t>through the use of</w:t>
      </w:r>
      <w:proofErr w:type="gramEnd"/>
      <w:r w:rsidRPr="001C7F67">
        <w:t xml:space="preserve"> general reserves as outlined at the end of </w:t>
      </w:r>
      <w:r w:rsidRPr="00E0100E">
        <w:t xml:space="preserve">this report. A full description of budget assumptions and risks </w:t>
      </w:r>
      <w:r w:rsidRPr="009E5133">
        <w:t xml:space="preserve">are provided in </w:t>
      </w:r>
      <w:r w:rsidRPr="009E5133">
        <w:rPr>
          <w:b/>
          <w:bCs/>
        </w:rPr>
        <w:t>Appendix B1</w:t>
      </w:r>
      <w:r w:rsidRPr="009E5133">
        <w:t xml:space="preserve">, </w:t>
      </w:r>
      <w:r w:rsidRPr="009E5133">
        <w:rPr>
          <w:i/>
          <w:iCs/>
        </w:rPr>
        <w:t xml:space="preserve">‘Report of the Chief Finance Officer - </w:t>
      </w:r>
      <w:r w:rsidRPr="009E5133">
        <w:rPr>
          <w:rFonts w:cs="Arial"/>
          <w:i/>
          <w:iCs/>
          <w:szCs w:val="24"/>
        </w:rPr>
        <w:t>r</w:t>
      </w:r>
      <w:r w:rsidRPr="009E5133">
        <w:rPr>
          <w:rFonts w:ascii="Arial" w:hAnsi="Arial" w:cs="Arial"/>
          <w:i/>
          <w:iCs/>
          <w:szCs w:val="24"/>
        </w:rPr>
        <w:t>obustness of the 202</w:t>
      </w:r>
      <w:r w:rsidRPr="009E5133">
        <w:rPr>
          <w:rFonts w:cs="Arial"/>
          <w:i/>
          <w:iCs/>
          <w:szCs w:val="24"/>
        </w:rPr>
        <w:t>2</w:t>
      </w:r>
      <w:r w:rsidRPr="009E5133">
        <w:rPr>
          <w:rFonts w:ascii="Arial" w:hAnsi="Arial" w:cs="Arial"/>
          <w:i/>
          <w:iCs/>
          <w:szCs w:val="24"/>
        </w:rPr>
        <w:t>/2</w:t>
      </w:r>
      <w:r w:rsidRPr="009E5133">
        <w:rPr>
          <w:rFonts w:cs="Arial"/>
          <w:i/>
          <w:iCs/>
          <w:szCs w:val="24"/>
        </w:rPr>
        <w:t>3</w:t>
      </w:r>
      <w:r w:rsidRPr="009E5133">
        <w:rPr>
          <w:rFonts w:ascii="Arial" w:hAnsi="Arial" w:cs="Arial"/>
          <w:i/>
          <w:iCs/>
          <w:szCs w:val="24"/>
        </w:rPr>
        <w:t xml:space="preserve"> </w:t>
      </w:r>
      <w:r w:rsidRPr="009E5133">
        <w:rPr>
          <w:rFonts w:cs="Arial"/>
          <w:i/>
          <w:iCs/>
          <w:szCs w:val="24"/>
        </w:rPr>
        <w:t>b</w:t>
      </w:r>
      <w:r w:rsidRPr="009E5133">
        <w:rPr>
          <w:rFonts w:ascii="Arial" w:hAnsi="Arial" w:cs="Arial"/>
          <w:i/>
          <w:iCs/>
          <w:szCs w:val="24"/>
        </w:rPr>
        <w:t xml:space="preserve">udget and the </w:t>
      </w:r>
      <w:r w:rsidRPr="009E5133">
        <w:rPr>
          <w:rFonts w:cs="Arial"/>
          <w:i/>
          <w:iCs/>
          <w:szCs w:val="24"/>
        </w:rPr>
        <w:t>adequacy of financial reserves’</w:t>
      </w:r>
      <w:r w:rsidRPr="009E5133">
        <w:rPr>
          <w:rFonts w:cs="Arial"/>
          <w:szCs w:val="24"/>
        </w:rPr>
        <w:t xml:space="preserve">, </w:t>
      </w:r>
      <w:r w:rsidRPr="009E5133">
        <w:t xml:space="preserve">and in the supporting </w:t>
      </w:r>
      <w:r w:rsidRPr="009E5133">
        <w:rPr>
          <w:b/>
          <w:bCs/>
        </w:rPr>
        <w:t>Appendices B2</w:t>
      </w:r>
      <w:r w:rsidRPr="009E5133">
        <w:t xml:space="preserve"> </w:t>
      </w:r>
      <w:r w:rsidRPr="009E5133">
        <w:rPr>
          <w:i/>
          <w:iCs/>
        </w:rPr>
        <w:t>‘Risks to the Medium Term Financial Strategy’</w:t>
      </w:r>
      <w:r w:rsidRPr="009E5133">
        <w:t xml:space="preserve"> and </w:t>
      </w:r>
      <w:r w:rsidRPr="009E5133">
        <w:rPr>
          <w:b/>
          <w:bCs/>
        </w:rPr>
        <w:t>B3,</w:t>
      </w:r>
      <w:r w:rsidRPr="009E5133">
        <w:t xml:space="preserve"> </w:t>
      </w:r>
      <w:r w:rsidRPr="009E5133">
        <w:rPr>
          <w:i/>
          <w:iCs/>
        </w:rPr>
        <w:t>‘Financial Reserves’.</w:t>
      </w:r>
    </w:p>
    <w:p w14:paraId="48AD9D15" w14:textId="77777777" w:rsidR="003C02CA" w:rsidRPr="00E0100E" w:rsidRDefault="003C02CA" w:rsidP="003C02CA">
      <w:pPr>
        <w:pStyle w:val="ListParagraph"/>
      </w:pPr>
    </w:p>
    <w:p w14:paraId="477019B4" w14:textId="77777777" w:rsidR="003C02CA"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pPr>
      <w:r w:rsidRPr="00AC75A5">
        <w:rPr>
          <w:rFonts w:ascii="Arial" w:hAnsi="Arial" w:cs="Arial"/>
          <w:color w:val="FFFFFF" w:themeColor="background1"/>
          <w:sz w:val="24"/>
          <w:szCs w:val="24"/>
        </w:rPr>
        <w:t>B</w:t>
      </w:r>
      <w:r>
        <w:rPr>
          <w:rFonts w:ascii="Arial" w:hAnsi="Arial" w:cs="Arial"/>
          <w:color w:val="FFFFFF" w:themeColor="background1"/>
          <w:sz w:val="24"/>
          <w:szCs w:val="24"/>
        </w:rPr>
        <w:t>ALANCING THE BUDGET IN 2022/23</w:t>
      </w:r>
    </w:p>
    <w:p w14:paraId="3296D786"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Pr>
          <w:rFonts w:ascii="Arial" w:hAnsi="Arial" w:cs="Arial"/>
        </w:rPr>
        <w:t>Funding</w:t>
      </w:r>
      <w:r w:rsidRPr="00CA0113">
        <w:rPr>
          <w:rFonts w:ascii="Arial" w:hAnsi="Arial" w:cs="Arial"/>
        </w:rPr>
        <w:t xml:space="preserve"> </w:t>
      </w:r>
      <w:r w:rsidRPr="00524BEE">
        <w:rPr>
          <w:bCs/>
          <w:iCs/>
        </w:rPr>
        <w:t xml:space="preserve">to South </w:t>
      </w:r>
      <w:proofErr w:type="spellStart"/>
      <w:r w:rsidRPr="00524BEE">
        <w:rPr>
          <w:bCs/>
          <w:iCs/>
        </w:rPr>
        <w:t>Ribble</w:t>
      </w:r>
      <w:proofErr w:type="spellEnd"/>
      <w:r>
        <w:rPr>
          <w:bCs/>
          <w:iCs/>
        </w:rPr>
        <w:t xml:space="preserve"> Borough</w:t>
      </w:r>
      <w:r w:rsidRPr="00524BEE">
        <w:rPr>
          <w:bCs/>
          <w:iCs/>
        </w:rPr>
        <w:t xml:space="preserve"> Council has remained relatively stable since 2016/17 in cash terms from a figure then </w:t>
      </w:r>
      <w:r w:rsidRPr="00A72F40">
        <w:rPr>
          <w:bCs/>
          <w:iCs/>
        </w:rPr>
        <w:t>of £13.909m, to a forecast figure of £14.568m</w:t>
      </w:r>
      <w:r w:rsidRPr="00524BEE">
        <w:rPr>
          <w:bCs/>
          <w:iCs/>
        </w:rPr>
        <w:t xml:space="preserve"> in 202</w:t>
      </w:r>
      <w:r>
        <w:rPr>
          <w:bCs/>
          <w:iCs/>
        </w:rPr>
        <w:t>4</w:t>
      </w:r>
      <w:r w:rsidRPr="00524BEE">
        <w:rPr>
          <w:bCs/>
          <w:iCs/>
        </w:rPr>
        <w:t>/2</w:t>
      </w:r>
      <w:r>
        <w:rPr>
          <w:bCs/>
          <w:iCs/>
        </w:rPr>
        <w:t>5</w:t>
      </w:r>
      <w:r w:rsidRPr="00524BEE">
        <w:rPr>
          <w:bCs/>
          <w:iCs/>
        </w:rPr>
        <w:t xml:space="preserve">. During the period to date, the council has continued to experience inflationary increases in staffing and non-staff costs, however, the council has been ambitious in its approach to meeting the budget deficit by realising efficiency savings and generating additional income. </w:t>
      </w:r>
    </w:p>
    <w:p w14:paraId="5FD6EDF2" w14:textId="77777777" w:rsidR="003C02CA" w:rsidRPr="00524BEE"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The council has been successful in controlling its costs whilst continuing to provide the high-quality services that are expected by its residents. The council achieves this by continually reviewing its budgets and contracts as well as exploring and investing in alternative delivery models; this has included sharing services with Chorley Council. </w:t>
      </w:r>
    </w:p>
    <w:p w14:paraId="53733494" w14:textId="77777777" w:rsidR="003C02CA" w:rsidRPr="00F17651" w:rsidRDefault="003C02CA" w:rsidP="003C02CA">
      <w:pPr>
        <w:pStyle w:val="ListParagraph"/>
        <w:numPr>
          <w:ilvl w:val="0"/>
          <w:numId w:val="11"/>
        </w:numPr>
        <w:tabs>
          <w:tab w:val="left" w:pos="567"/>
        </w:tabs>
        <w:spacing w:before="240" w:after="0" w:line="240" w:lineRule="auto"/>
        <w:jc w:val="both"/>
        <w:rPr>
          <w:rFonts w:ascii="Arial" w:hAnsi="Arial" w:cs="Arial"/>
        </w:rPr>
      </w:pPr>
      <w:r w:rsidRPr="00524BEE">
        <w:rPr>
          <w:bCs/>
          <w:iCs/>
        </w:rPr>
        <w:t>The council will continue to invest in the borough to improve housing and to maximise opportunities to generate income, thereby making the council less reliant on the increasingly uncertain funding from Government</w:t>
      </w:r>
      <w:r>
        <w:rPr>
          <w:bCs/>
          <w:iCs/>
        </w:rPr>
        <w:t>.</w:t>
      </w:r>
    </w:p>
    <w:p w14:paraId="05B4FF8A" w14:textId="77777777" w:rsidR="003C02CA" w:rsidRDefault="003C02CA" w:rsidP="003C02CA">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567" w:right="141"/>
        <w:rPr>
          <w:bCs/>
          <w:iCs/>
          <w:u w:val="single"/>
        </w:rPr>
      </w:pPr>
    </w:p>
    <w:p w14:paraId="0BBC0895" w14:textId="77777777" w:rsidR="003C02CA" w:rsidRDefault="003C02CA" w:rsidP="003C02CA">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567" w:right="141"/>
        <w:rPr>
          <w:b/>
          <w:iCs/>
          <w:color w:val="548DD4" w:themeColor="text2" w:themeTint="99"/>
          <w:u w:val="single"/>
        </w:rPr>
      </w:pPr>
    </w:p>
    <w:p w14:paraId="47A1FF7D" w14:textId="77777777" w:rsidR="003C02CA" w:rsidRPr="009C3715" w:rsidRDefault="003C02CA" w:rsidP="003C02CA">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567" w:right="141"/>
        <w:rPr>
          <w:b/>
          <w:iCs/>
          <w:color w:val="548DD4" w:themeColor="text2" w:themeTint="99"/>
          <w:u w:val="single"/>
        </w:rPr>
      </w:pPr>
      <w:r w:rsidRPr="009C3715">
        <w:rPr>
          <w:b/>
          <w:iCs/>
          <w:color w:val="548DD4" w:themeColor="text2" w:themeTint="99"/>
          <w:u w:val="single"/>
        </w:rPr>
        <w:lastRenderedPageBreak/>
        <w:t>Table 3: Balancing the Budget</w:t>
      </w:r>
    </w:p>
    <w:p w14:paraId="2CD34391" w14:textId="77777777" w:rsidR="003C02CA" w:rsidRDefault="003C02CA" w:rsidP="003C02CA">
      <w:pPr>
        <w:pStyle w:val="ListParagraph"/>
        <w:spacing w:before="240" w:after="0" w:line="240" w:lineRule="auto"/>
        <w:ind w:left="567"/>
        <w:jc w:val="both"/>
        <w:rPr>
          <w:rFonts w:ascii="Arial" w:hAnsi="Arial" w:cs="Arial"/>
        </w:rPr>
      </w:pPr>
    </w:p>
    <w:tbl>
      <w:tblPr>
        <w:tblW w:w="7720" w:type="dxa"/>
        <w:tblInd w:w="650" w:type="dxa"/>
        <w:tblLook w:val="04A0" w:firstRow="1" w:lastRow="0" w:firstColumn="1" w:lastColumn="0" w:noHBand="0" w:noVBand="1"/>
      </w:tblPr>
      <w:tblGrid>
        <w:gridCol w:w="4420"/>
        <w:gridCol w:w="1260"/>
        <w:gridCol w:w="1020"/>
        <w:gridCol w:w="1020"/>
      </w:tblGrid>
      <w:tr w:rsidR="003C02CA" w:rsidRPr="004A2838" w14:paraId="2A077F21" w14:textId="77777777" w:rsidTr="002F7BAE">
        <w:trPr>
          <w:trHeight w:val="300"/>
        </w:trPr>
        <w:tc>
          <w:tcPr>
            <w:tcW w:w="4420" w:type="dxa"/>
            <w:vMerge w:val="restart"/>
            <w:tcBorders>
              <w:top w:val="nil"/>
              <w:left w:val="nil"/>
              <w:bottom w:val="nil"/>
              <w:right w:val="single" w:sz="8" w:space="0" w:color="auto"/>
            </w:tcBorders>
            <w:shd w:val="clear" w:color="000000" w:fill="FFFFFF"/>
            <w:vAlign w:val="center"/>
            <w:hideMark/>
          </w:tcPr>
          <w:p w14:paraId="3FD3CD65" w14:textId="77777777" w:rsidR="003C02CA" w:rsidRPr="004A2838" w:rsidRDefault="003C02CA" w:rsidP="002F7BAE">
            <w:pPr>
              <w:spacing w:after="0" w:line="240" w:lineRule="auto"/>
              <w:rPr>
                <w:rFonts w:ascii="Arial" w:eastAsia="Times New Roman" w:hAnsi="Arial" w:cs="Arial"/>
                <w:b/>
                <w:bCs/>
                <w:color w:val="000000"/>
                <w:lang w:eastAsia="en-GB"/>
              </w:rPr>
            </w:pPr>
            <w:r w:rsidRPr="004A2838">
              <w:rPr>
                <w:rFonts w:ascii="Arial" w:eastAsia="Times New Roman" w:hAnsi="Arial" w:cs="Arial"/>
                <w:b/>
                <w:bCs/>
                <w:color w:val="000000"/>
                <w:lang w:eastAsia="en-GB"/>
              </w:rPr>
              <w:t> </w:t>
            </w:r>
          </w:p>
        </w:tc>
        <w:tc>
          <w:tcPr>
            <w:tcW w:w="1260" w:type="dxa"/>
            <w:tcBorders>
              <w:top w:val="single" w:sz="8" w:space="0" w:color="auto"/>
              <w:left w:val="nil"/>
              <w:bottom w:val="nil"/>
              <w:right w:val="single" w:sz="8" w:space="0" w:color="auto"/>
            </w:tcBorders>
            <w:shd w:val="clear" w:color="auto" w:fill="548DD4" w:themeFill="text2" w:themeFillTint="99"/>
            <w:vAlign w:val="center"/>
            <w:hideMark/>
          </w:tcPr>
          <w:p w14:paraId="3B7B6C9D" w14:textId="77777777" w:rsidR="003C02CA" w:rsidRPr="004A2838" w:rsidRDefault="003C02CA" w:rsidP="002F7BAE">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2022/23</w:t>
            </w:r>
          </w:p>
        </w:tc>
        <w:tc>
          <w:tcPr>
            <w:tcW w:w="1020" w:type="dxa"/>
            <w:tcBorders>
              <w:top w:val="single" w:sz="8" w:space="0" w:color="auto"/>
              <w:left w:val="nil"/>
              <w:bottom w:val="nil"/>
              <w:right w:val="single" w:sz="8" w:space="0" w:color="auto"/>
            </w:tcBorders>
            <w:shd w:val="clear" w:color="auto" w:fill="548DD4" w:themeFill="text2" w:themeFillTint="99"/>
            <w:vAlign w:val="center"/>
            <w:hideMark/>
          </w:tcPr>
          <w:p w14:paraId="0902A379" w14:textId="77777777" w:rsidR="003C02CA" w:rsidRPr="004A2838" w:rsidRDefault="003C02CA" w:rsidP="002F7BAE">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2023/24</w:t>
            </w:r>
          </w:p>
        </w:tc>
        <w:tc>
          <w:tcPr>
            <w:tcW w:w="1020" w:type="dxa"/>
            <w:tcBorders>
              <w:top w:val="single" w:sz="8" w:space="0" w:color="auto"/>
              <w:left w:val="nil"/>
              <w:bottom w:val="nil"/>
              <w:right w:val="single" w:sz="8" w:space="0" w:color="auto"/>
            </w:tcBorders>
            <w:shd w:val="clear" w:color="auto" w:fill="548DD4" w:themeFill="text2" w:themeFillTint="99"/>
            <w:vAlign w:val="center"/>
            <w:hideMark/>
          </w:tcPr>
          <w:p w14:paraId="454603AB" w14:textId="77777777" w:rsidR="003C02CA" w:rsidRPr="004A2838" w:rsidRDefault="003C02CA" w:rsidP="002F7BAE">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2024/25</w:t>
            </w:r>
          </w:p>
        </w:tc>
      </w:tr>
      <w:tr w:rsidR="003C02CA" w:rsidRPr="004A2838" w14:paraId="713A06E7" w14:textId="77777777" w:rsidTr="002F7BAE">
        <w:trPr>
          <w:trHeight w:val="315"/>
        </w:trPr>
        <w:tc>
          <w:tcPr>
            <w:tcW w:w="4420" w:type="dxa"/>
            <w:vMerge/>
            <w:tcBorders>
              <w:top w:val="nil"/>
              <w:left w:val="nil"/>
              <w:bottom w:val="nil"/>
              <w:right w:val="single" w:sz="8" w:space="0" w:color="auto"/>
            </w:tcBorders>
            <w:vAlign w:val="center"/>
            <w:hideMark/>
          </w:tcPr>
          <w:p w14:paraId="7CA4DDD1" w14:textId="77777777" w:rsidR="003C02CA" w:rsidRPr="004A2838" w:rsidRDefault="003C02CA" w:rsidP="002F7BAE">
            <w:pPr>
              <w:spacing w:after="0" w:line="240" w:lineRule="auto"/>
              <w:rPr>
                <w:rFonts w:ascii="Arial" w:eastAsia="Times New Roman" w:hAnsi="Arial" w:cs="Arial"/>
                <w:b/>
                <w:bCs/>
                <w:color w:val="000000"/>
                <w:lang w:eastAsia="en-GB"/>
              </w:rPr>
            </w:pPr>
          </w:p>
        </w:tc>
        <w:tc>
          <w:tcPr>
            <w:tcW w:w="1260" w:type="dxa"/>
            <w:tcBorders>
              <w:top w:val="nil"/>
              <w:left w:val="nil"/>
              <w:bottom w:val="single" w:sz="8" w:space="0" w:color="auto"/>
              <w:right w:val="single" w:sz="8" w:space="0" w:color="auto"/>
            </w:tcBorders>
            <w:shd w:val="clear" w:color="auto" w:fill="548DD4" w:themeFill="text2" w:themeFillTint="99"/>
            <w:vAlign w:val="center"/>
            <w:hideMark/>
          </w:tcPr>
          <w:p w14:paraId="5BDE8A0B" w14:textId="77777777" w:rsidR="003C02CA" w:rsidRPr="004A2838" w:rsidRDefault="003C02CA" w:rsidP="002F7BAE">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020" w:type="dxa"/>
            <w:tcBorders>
              <w:top w:val="nil"/>
              <w:left w:val="nil"/>
              <w:bottom w:val="single" w:sz="8" w:space="0" w:color="auto"/>
              <w:right w:val="single" w:sz="8" w:space="0" w:color="auto"/>
            </w:tcBorders>
            <w:shd w:val="clear" w:color="auto" w:fill="548DD4" w:themeFill="text2" w:themeFillTint="99"/>
            <w:vAlign w:val="center"/>
            <w:hideMark/>
          </w:tcPr>
          <w:p w14:paraId="0362B03A" w14:textId="77777777" w:rsidR="003C02CA" w:rsidRPr="004A2838" w:rsidRDefault="003C02CA" w:rsidP="002F7BAE">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020" w:type="dxa"/>
            <w:tcBorders>
              <w:top w:val="nil"/>
              <w:left w:val="nil"/>
              <w:bottom w:val="single" w:sz="8" w:space="0" w:color="auto"/>
              <w:right w:val="single" w:sz="8" w:space="0" w:color="auto"/>
            </w:tcBorders>
            <w:shd w:val="clear" w:color="auto" w:fill="548DD4" w:themeFill="text2" w:themeFillTint="99"/>
            <w:vAlign w:val="center"/>
            <w:hideMark/>
          </w:tcPr>
          <w:p w14:paraId="7C0F4795" w14:textId="77777777" w:rsidR="003C02CA" w:rsidRPr="004A2838" w:rsidRDefault="003C02CA" w:rsidP="002F7BAE">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r>
      <w:tr w:rsidR="003C02CA" w:rsidRPr="004A2838" w14:paraId="17A756D9" w14:textId="77777777" w:rsidTr="002F7BAE">
        <w:trPr>
          <w:trHeight w:val="315"/>
        </w:trPr>
        <w:tc>
          <w:tcPr>
            <w:tcW w:w="4420" w:type="dxa"/>
            <w:tcBorders>
              <w:top w:val="nil"/>
              <w:left w:val="nil"/>
              <w:bottom w:val="single" w:sz="8" w:space="0" w:color="auto"/>
              <w:right w:val="nil"/>
            </w:tcBorders>
            <w:shd w:val="clear" w:color="000000" w:fill="FFFFFF"/>
            <w:vAlign w:val="center"/>
            <w:hideMark/>
          </w:tcPr>
          <w:p w14:paraId="5A27BBC9" w14:textId="77777777" w:rsidR="003C02CA" w:rsidRPr="004A2838" w:rsidRDefault="003C02CA" w:rsidP="002F7BAE">
            <w:pPr>
              <w:spacing w:after="0" w:line="240" w:lineRule="auto"/>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260" w:type="dxa"/>
            <w:tcBorders>
              <w:top w:val="nil"/>
              <w:left w:val="nil"/>
              <w:bottom w:val="nil"/>
              <w:right w:val="nil"/>
            </w:tcBorders>
            <w:shd w:val="clear" w:color="000000" w:fill="FFFFFF"/>
            <w:vAlign w:val="center"/>
            <w:hideMark/>
          </w:tcPr>
          <w:p w14:paraId="415BEF34" w14:textId="77777777" w:rsidR="003C02CA" w:rsidRPr="004A2838" w:rsidRDefault="003C02CA" w:rsidP="002F7BAE">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020" w:type="dxa"/>
            <w:tcBorders>
              <w:top w:val="nil"/>
              <w:left w:val="nil"/>
              <w:bottom w:val="nil"/>
              <w:right w:val="nil"/>
            </w:tcBorders>
            <w:shd w:val="clear" w:color="000000" w:fill="FFFFFF"/>
            <w:vAlign w:val="center"/>
            <w:hideMark/>
          </w:tcPr>
          <w:p w14:paraId="7EF467EB" w14:textId="77777777" w:rsidR="003C02CA" w:rsidRPr="004A2838" w:rsidRDefault="003C02CA" w:rsidP="002F7BAE">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020" w:type="dxa"/>
            <w:tcBorders>
              <w:top w:val="nil"/>
              <w:left w:val="nil"/>
              <w:bottom w:val="nil"/>
              <w:right w:val="nil"/>
            </w:tcBorders>
            <w:shd w:val="clear" w:color="000000" w:fill="FFFFFF"/>
            <w:vAlign w:val="center"/>
            <w:hideMark/>
          </w:tcPr>
          <w:p w14:paraId="01438DE6" w14:textId="77777777" w:rsidR="003C02CA" w:rsidRPr="004A2838" w:rsidRDefault="003C02CA" w:rsidP="002F7BAE">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r>
      <w:tr w:rsidR="003C02CA" w:rsidRPr="004A2838" w14:paraId="2A2EF7F0" w14:textId="77777777" w:rsidTr="002F7BAE">
        <w:trPr>
          <w:trHeight w:val="315"/>
        </w:trPr>
        <w:tc>
          <w:tcPr>
            <w:tcW w:w="4420" w:type="dxa"/>
            <w:tcBorders>
              <w:top w:val="nil"/>
              <w:left w:val="single" w:sz="8" w:space="0" w:color="auto"/>
              <w:bottom w:val="single" w:sz="8" w:space="0" w:color="auto"/>
              <w:right w:val="single" w:sz="8" w:space="0" w:color="auto"/>
            </w:tcBorders>
            <w:shd w:val="clear" w:color="000000" w:fill="0070C0"/>
            <w:vAlign w:val="center"/>
            <w:hideMark/>
          </w:tcPr>
          <w:p w14:paraId="09BB6F58" w14:textId="77777777" w:rsidR="003C02CA" w:rsidRPr="004A2838" w:rsidRDefault="003C02CA" w:rsidP="002F7BAE">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TOTAL BUDGET DEFICIT</w:t>
            </w:r>
          </w:p>
        </w:tc>
        <w:tc>
          <w:tcPr>
            <w:tcW w:w="1260" w:type="dxa"/>
            <w:tcBorders>
              <w:top w:val="single" w:sz="8" w:space="0" w:color="auto"/>
              <w:left w:val="nil"/>
              <w:bottom w:val="single" w:sz="8" w:space="0" w:color="auto"/>
              <w:right w:val="single" w:sz="8" w:space="0" w:color="auto"/>
            </w:tcBorders>
            <w:shd w:val="clear" w:color="000000" w:fill="0070C0"/>
            <w:vAlign w:val="center"/>
            <w:hideMark/>
          </w:tcPr>
          <w:p w14:paraId="76AB3DE6" w14:textId="77777777" w:rsidR="003C02CA" w:rsidRPr="000F23A2" w:rsidRDefault="003C02CA" w:rsidP="002F7BAE">
            <w:pPr>
              <w:spacing w:after="0" w:line="240" w:lineRule="auto"/>
              <w:jc w:val="right"/>
              <w:rPr>
                <w:rFonts w:ascii="Arial" w:eastAsia="Times New Roman" w:hAnsi="Arial" w:cs="Arial"/>
                <w:b/>
                <w:bCs/>
                <w:color w:val="FFFFFF"/>
                <w:lang w:eastAsia="en-GB"/>
              </w:rPr>
            </w:pPr>
            <w:r w:rsidRPr="000F23A2">
              <w:rPr>
                <w:rFonts w:ascii="Arial" w:hAnsi="Arial" w:cs="Arial"/>
                <w:b/>
                <w:bCs/>
                <w:color w:val="FFFFFF"/>
              </w:rPr>
              <w:t>0.</w:t>
            </w:r>
            <w:r>
              <w:rPr>
                <w:rFonts w:ascii="Arial" w:hAnsi="Arial" w:cs="Arial"/>
                <w:b/>
                <w:bCs/>
                <w:color w:val="FFFFFF"/>
              </w:rPr>
              <w:t>055</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22728838" w14:textId="77777777" w:rsidR="003C02CA" w:rsidRPr="000F23A2" w:rsidRDefault="003C02CA" w:rsidP="002F7BAE">
            <w:pPr>
              <w:spacing w:after="0" w:line="240" w:lineRule="auto"/>
              <w:jc w:val="right"/>
              <w:rPr>
                <w:rFonts w:ascii="Arial" w:eastAsia="Times New Roman" w:hAnsi="Arial" w:cs="Arial"/>
                <w:b/>
                <w:bCs/>
                <w:color w:val="FFFFFF"/>
                <w:lang w:eastAsia="en-GB"/>
              </w:rPr>
            </w:pPr>
            <w:r>
              <w:rPr>
                <w:rFonts w:ascii="Arial" w:hAnsi="Arial" w:cs="Arial"/>
                <w:b/>
                <w:bCs/>
                <w:color w:val="FFFFFF"/>
              </w:rPr>
              <w:t>0.739</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1EE09E8B" w14:textId="77777777" w:rsidR="003C02CA" w:rsidRPr="000F23A2" w:rsidRDefault="003C02CA" w:rsidP="002F7BAE">
            <w:pPr>
              <w:spacing w:after="0" w:line="240" w:lineRule="auto"/>
              <w:jc w:val="right"/>
              <w:rPr>
                <w:rFonts w:ascii="Arial" w:eastAsia="Times New Roman" w:hAnsi="Arial" w:cs="Arial"/>
                <w:b/>
                <w:bCs/>
                <w:color w:val="FFFFFF"/>
                <w:lang w:eastAsia="en-GB"/>
              </w:rPr>
            </w:pPr>
            <w:r w:rsidRPr="000F23A2">
              <w:rPr>
                <w:rFonts w:ascii="Arial" w:hAnsi="Arial" w:cs="Arial"/>
                <w:b/>
                <w:bCs/>
                <w:color w:val="FFFFFF"/>
              </w:rPr>
              <w:t>1.</w:t>
            </w:r>
            <w:r>
              <w:rPr>
                <w:rFonts w:ascii="Arial" w:hAnsi="Arial" w:cs="Arial"/>
                <w:b/>
                <w:bCs/>
                <w:color w:val="FFFFFF"/>
              </w:rPr>
              <w:t>014</w:t>
            </w:r>
          </w:p>
        </w:tc>
      </w:tr>
      <w:tr w:rsidR="003C02CA" w:rsidRPr="004A2838" w14:paraId="76EFE314" w14:textId="77777777" w:rsidTr="002F7BAE">
        <w:trPr>
          <w:trHeight w:val="300"/>
        </w:trPr>
        <w:tc>
          <w:tcPr>
            <w:tcW w:w="4420" w:type="dxa"/>
            <w:tcBorders>
              <w:top w:val="nil"/>
              <w:left w:val="nil"/>
              <w:bottom w:val="single" w:sz="8" w:space="0" w:color="auto"/>
              <w:right w:val="nil"/>
            </w:tcBorders>
            <w:shd w:val="clear" w:color="000000" w:fill="FFFFFF"/>
            <w:vAlign w:val="center"/>
            <w:hideMark/>
          </w:tcPr>
          <w:p w14:paraId="66EA89ED" w14:textId="77777777" w:rsidR="003C02CA" w:rsidRPr="004A2838" w:rsidRDefault="003C02CA" w:rsidP="002F7BAE">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single" w:sz="8" w:space="0" w:color="auto"/>
              <w:right w:val="nil"/>
            </w:tcBorders>
            <w:shd w:val="clear" w:color="000000" w:fill="FFFFFF"/>
            <w:vAlign w:val="center"/>
            <w:hideMark/>
          </w:tcPr>
          <w:p w14:paraId="4EBA3DD6" w14:textId="77777777" w:rsidR="003C02CA" w:rsidRPr="000F23A2" w:rsidRDefault="003C02CA" w:rsidP="002F7BAE">
            <w:pPr>
              <w:spacing w:after="0" w:line="240" w:lineRule="auto"/>
              <w:jc w:val="right"/>
              <w:rPr>
                <w:rFonts w:ascii="Arial" w:eastAsia="Times New Roman" w:hAnsi="Arial" w:cs="Arial"/>
                <w:b/>
                <w:bCs/>
                <w:color w:val="FFFFFF"/>
                <w:sz w:val="12"/>
                <w:szCs w:val="12"/>
                <w:lang w:eastAsia="en-GB"/>
              </w:rPr>
            </w:pPr>
            <w:r w:rsidRPr="000F23A2">
              <w:rPr>
                <w:rFonts w:ascii="Arial" w:hAnsi="Arial" w:cs="Arial"/>
                <w:b/>
                <w:bCs/>
                <w:color w:val="FFFFFF"/>
                <w:sz w:val="12"/>
                <w:szCs w:val="12"/>
              </w:rPr>
              <w:t> </w:t>
            </w:r>
          </w:p>
        </w:tc>
        <w:tc>
          <w:tcPr>
            <w:tcW w:w="1020" w:type="dxa"/>
            <w:tcBorders>
              <w:top w:val="nil"/>
              <w:left w:val="nil"/>
              <w:bottom w:val="single" w:sz="8" w:space="0" w:color="auto"/>
              <w:right w:val="nil"/>
            </w:tcBorders>
            <w:shd w:val="clear" w:color="000000" w:fill="FFFFFF"/>
            <w:vAlign w:val="center"/>
            <w:hideMark/>
          </w:tcPr>
          <w:p w14:paraId="59E3146E" w14:textId="77777777" w:rsidR="003C02CA" w:rsidRPr="000F23A2" w:rsidRDefault="003C02CA" w:rsidP="002F7BAE">
            <w:pPr>
              <w:spacing w:after="0" w:line="240" w:lineRule="auto"/>
              <w:jc w:val="right"/>
              <w:rPr>
                <w:rFonts w:ascii="Arial" w:eastAsia="Times New Roman" w:hAnsi="Arial" w:cs="Arial"/>
                <w:b/>
                <w:bCs/>
                <w:color w:val="FFFFFF"/>
                <w:sz w:val="12"/>
                <w:szCs w:val="12"/>
                <w:lang w:eastAsia="en-GB"/>
              </w:rPr>
            </w:pPr>
            <w:r w:rsidRPr="000F23A2">
              <w:rPr>
                <w:rFonts w:ascii="Arial" w:hAnsi="Arial" w:cs="Arial"/>
                <w:b/>
                <w:bCs/>
                <w:color w:val="FFFFFF"/>
                <w:sz w:val="12"/>
                <w:szCs w:val="12"/>
              </w:rPr>
              <w:t> </w:t>
            </w:r>
          </w:p>
        </w:tc>
        <w:tc>
          <w:tcPr>
            <w:tcW w:w="1020" w:type="dxa"/>
            <w:tcBorders>
              <w:top w:val="nil"/>
              <w:left w:val="nil"/>
              <w:bottom w:val="single" w:sz="8" w:space="0" w:color="auto"/>
              <w:right w:val="nil"/>
            </w:tcBorders>
            <w:shd w:val="clear" w:color="000000" w:fill="FFFFFF"/>
            <w:vAlign w:val="center"/>
            <w:hideMark/>
          </w:tcPr>
          <w:p w14:paraId="7793AA0E" w14:textId="77777777" w:rsidR="003C02CA" w:rsidRPr="000F23A2" w:rsidRDefault="003C02CA" w:rsidP="002F7BAE">
            <w:pPr>
              <w:spacing w:after="0" w:line="240" w:lineRule="auto"/>
              <w:jc w:val="right"/>
              <w:rPr>
                <w:rFonts w:ascii="Arial" w:eastAsia="Times New Roman" w:hAnsi="Arial" w:cs="Arial"/>
                <w:b/>
                <w:bCs/>
                <w:color w:val="FFFFFF"/>
                <w:sz w:val="12"/>
                <w:szCs w:val="12"/>
                <w:lang w:eastAsia="en-GB"/>
              </w:rPr>
            </w:pPr>
            <w:r w:rsidRPr="000F23A2">
              <w:rPr>
                <w:rFonts w:ascii="Arial" w:hAnsi="Arial" w:cs="Arial"/>
                <w:b/>
                <w:bCs/>
                <w:color w:val="FFFFFF"/>
                <w:sz w:val="12"/>
                <w:szCs w:val="12"/>
              </w:rPr>
              <w:t> </w:t>
            </w:r>
          </w:p>
        </w:tc>
      </w:tr>
      <w:tr w:rsidR="003C02CA" w:rsidRPr="004A2838" w14:paraId="567F103E" w14:textId="77777777" w:rsidTr="002F7BAE">
        <w:trPr>
          <w:trHeight w:val="255"/>
        </w:trPr>
        <w:tc>
          <w:tcPr>
            <w:tcW w:w="44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BE76A2D" w14:textId="77777777" w:rsidR="003C02CA" w:rsidRPr="004A2838" w:rsidRDefault="003C02CA" w:rsidP="002F7BAE">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DFG Admin Charge to 12.5%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14:paraId="27E1408D" w14:textId="77777777" w:rsidR="003C02CA" w:rsidRPr="000F23A2" w:rsidRDefault="003C02CA" w:rsidP="002F7BAE">
            <w:pPr>
              <w:spacing w:after="0" w:line="240" w:lineRule="auto"/>
              <w:jc w:val="right"/>
              <w:rPr>
                <w:rFonts w:ascii="Arial" w:eastAsia="Times New Roman" w:hAnsi="Arial" w:cs="Arial"/>
                <w:color w:val="FF0000"/>
                <w:lang w:eastAsia="en-GB"/>
              </w:rPr>
            </w:pPr>
            <w:r w:rsidRPr="000F23A2">
              <w:rPr>
                <w:rFonts w:ascii="Arial" w:hAnsi="Arial" w:cs="Arial"/>
                <w:color w:val="FF0000"/>
              </w:rPr>
              <w:t>(0.055)</w:t>
            </w:r>
          </w:p>
        </w:tc>
        <w:tc>
          <w:tcPr>
            <w:tcW w:w="1020" w:type="dxa"/>
            <w:tcBorders>
              <w:top w:val="single" w:sz="8" w:space="0" w:color="auto"/>
              <w:left w:val="nil"/>
              <w:bottom w:val="single" w:sz="8" w:space="0" w:color="auto"/>
              <w:right w:val="single" w:sz="8" w:space="0" w:color="auto"/>
            </w:tcBorders>
            <w:shd w:val="clear" w:color="000000" w:fill="FFFFFF"/>
            <w:vAlign w:val="center"/>
            <w:hideMark/>
          </w:tcPr>
          <w:p w14:paraId="077632F9" w14:textId="77777777" w:rsidR="003C02CA" w:rsidRPr="000F23A2" w:rsidRDefault="003C02CA" w:rsidP="002F7BAE">
            <w:pPr>
              <w:spacing w:after="0" w:line="240" w:lineRule="auto"/>
              <w:jc w:val="right"/>
              <w:rPr>
                <w:rFonts w:ascii="Arial" w:eastAsia="Times New Roman" w:hAnsi="Arial" w:cs="Arial"/>
                <w:color w:val="FF0000"/>
                <w:lang w:eastAsia="en-GB"/>
              </w:rPr>
            </w:pPr>
            <w:r w:rsidRPr="000F23A2">
              <w:rPr>
                <w:rFonts w:ascii="Arial" w:hAnsi="Arial" w:cs="Arial"/>
                <w:color w:val="FF0000"/>
              </w:rPr>
              <w:t>(0.055)</w:t>
            </w:r>
          </w:p>
        </w:tc>
        <w:tc>
          <w:tcPr>
            <w:tcW w:w="1020" w:type="dxa"/>
            <w:tcBorders>
              <w:top w:val="single" w:sz="8" w:space="0" w:color="auto"/>
              <w:left w:val="nil"/>
              <w:bottom w:val="single" w:sz="8" w:space="0" w:color="auto"/>
              <w:right w:val="single" w:sz="8" w:space="0" w:color="auto"/>
            </w:tcBorders>
            <w:shd w:val="clear" w:color="000000" w:fill="FFFFFF"/>
            <w:vAlign w:val="center"/>
            <w:hideMark/>
          </w:tcPr>
          <w:p w14:paraId="5C8E3473" w14:textId="77777777" w:rsidR="003C02CA" w:rsidRPr="000F23A2" w:rsidRDefault="003C02CA" w:rsidP="002F7BAE">
            <w:pPr>
              <w:spacing w:after="0" w:line="240" w:lineRule="auto"/>
              <w:jc w:val="right"/>
              <w:rPr>
                <w:rFonts w:ascii="Arial" w:eastAsia="Times New Roman" w:hAnsi="Arial" w:cs="Arial"/>
                <w:color w:val="FF0000"/>
                <w:lang w:eastAsia="en-GB"/>
              </w:rPr>
            </w:pPr>
            <w:r w:rsidRPr="000F23A2">
              <w:rPr>
                <w:rFonts w:ascii="Arial" w:hAnsi="Arial" w:cs="Arial"/>
                <w:color w:val="FF0000"/>
              </w:rPr>
              <w:t>(0.055)</w:t>
            </w:r>
          </w:p>
        </w:tc>
      </w:tr>
      <w:tr w:rsidR="003C02CA" w:rsidRPr="004A2838" w14:paraId="60400206" w14:textId="77777777" w:rsidTr="002F7BAE">
        <w:trPr>
          <w:trHeight w:val="255"/>
        </w:trPr>
        <w:tc>
          <w:tcPr>
            <w:tcW w:w="4420" w:type="dxa"/>
            <w:tcBorders>
              <w:top w:val="nil"/>
              <w:left w:val="single" w:sz="8" w:space="0" w:color="auto"/>
              <w:bottom w:val="single" w:sz="8" w:space="0" w:color="auto"/>
              <w:right w:val="single" w:sz="8" w:space="0" w:color="auto"/>
            </w:tcBorders>
            <w:shd w:val="clear" w:color="000000" w:fill="FFFFFF"/>
            <w:vAlign w:val="center"/>
          </w:tcPr>
          <w:p w14:paraId="639F0D03" w14:textId="77777777" w:rsidR="003C02CA" w:rsidRPr="004A2838" w:rsidRDefault="003C02CA" w:rsidP="002F7BA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Net Income from Capital Investment (net of borrowing and running costs)</w:t>
            </w:r>
          </w:p>
        </w:tc>
        <w:tc>
          <w:tcPr>
            <w:tcW w:w="1260" w:type="dxa"/>
            <w:tcBorders>
              <w:top w:val="nil"/>
              <w:left w:val="nil"/>
              <w:bottom w:val="single" w:sz="8" w:space="0" w:color="auto"/>
              <w:right w:val="single" w:sz="8" w:space="0" w:color="auto"/>
            </w:tcBorders>
            <w:shd w:val="clear" w:color="000000" w:fill="FFFFFF"/>
            <w:vAlign w:val="center"/>
          </w:tcPr>
          <w:p w14:paraId="67C31AE8" w14:textId="77777777" w:rsidR="003C02CA" w:rsidRPr="000F23A2" w:rsidRDefault="003C02CA" w:rsidP="002F7BAE">
            <w:pPr>
              <w:spacing w:after="0" w:line="240" w:lineRule="auto"/>
              <w:jc w:val="right"/>
              <w:rPr>
                <w:rFonts w:ascii="Arial" w:hAnsi="Arial" w:cs="Arial"/>
                <w:color w:val="FF0000"/>
              </w:rPr>
            </w:pPr>
            <w:r w:rsidRPr="000F23A2">
              <w:rPr>
                <w:rFonts w:ascii="Arial" w:hAnsi="Arial" w:cs="Arial"/>
                <w:color w:val="FF0000"/>
              </w:rPr>
              <w:t>(0.000)</w:t>
            </w:r>
          </w:p>
        </w:tc>
        <w:tc>
          <w:tcPr>
            <w:tcW w:w="1020" w:type="dxa"/>
            <w:tcBorders>
              <w:top w:val="nil"/>
              <w:left w:val="nil"/>
              <w:bottom w:val="single" w:sz="8" w:space="0" w:color="auto"/>
              <w:right w:val="single" w:sz="8" w:space="0" w:color="auto"/>
            </w:tcBorders>
            <w:shd w:val="clear" w:color="000000" w:fill="FFFFFF"/>
            <w:vAlign w:val="center"/>
          </w:tcPr>
          <w:p w14:paraId="42EC28EC" w14:textId="77777777" w:rsidR="003C02CA" w:rsidRPr="000F23A2" w:rsidRDefault="003C02CA" w:rsidP="002F7BAE">
            <w:pPr>
              <w:spacing w:after="0" w:line="240" w:lineRule="auto"/>
              <w:jc w:val="right"/>
              <w:rPr>
                <w:rFonts w:ascii="Arial" w:hAnsi="Arial" w:cs="Arial"/>
                <w:color w:val="FF0000"/>
              </w:rPr>
            </w:pPr>
            <w:r w:rsidRPr="000F23A2">
              <w:rPr>
                <w:rFonts w:ascii="Arial" w:hAnsi="Arial" w:cs="Arial"/>
                <w:color w:val="FF0000"/>
              </w:rPr>
              <w:t>(0.065)</w:t>
            </w:r>
          </w:p>
        </w:tc>
        <w:tc>
          <w:tcPr>
            <w:tcW w:w="1020" w:type="dxa"/>
            <w:tcBorders>
              <w:top w:val="nil"/>
              <w:left w:val="nil"/>
              <w:bottom w:val="single" w:sz="8" w:space="0" w:color="auto"/>
              <w:right w:val="single" w:sz="8" w:space="0" w:color="auto"/>
            </w:tcBorders>
            <w:shd w:val="clear" w:color="000000" w:fill="FFFFFF"/>
            <w:vAlign w:val="center"/>
          </w:tcPr>
          <w:p w14:paraId="78EABC20" w14:textId="77777777" w:rsidR="003C02CA" w:rsidRPr="000F23A2" w:rsidRDefault="003C02CA" w:rsidP="002F7BAE">
            <w:pPr>
              <w:spacing w:after="0" w:line="240" w:lineRule="auto"/>
              <w:jc w:val="right"/>
              <w:rPr>
                <w:rFonts w:ascii="Arial" w:hAnsi="Arial" w:cs="Arial"/>
                <w:color w:val="FF0000"/>
              </w:rPr>
            </w:pPr>
            <w:r w:rsidRPr="000F23A2">
              <w:rPr>
                <w:rFonts w:ascii="Arial" w:hAnsi="Arial" w:cs="Arial"/>
                <w:color w:val="FF0000"/>
              </w:rPr>
              <w:t>(0.065)</w:t>
            </w:r>
          </w:p>
        </w:tc>
      </w:tr>
      <w:tr w:rsidR="003C02CA" w:rsidRPr="004A2838" w14:paraId="440BA67F" w14:textId="77777777" w:rsidTr="002F7BAE">
        <w:trPr>
          <w:trHeight w:val="255"/>
        </w:trPr>
        <w:tc>
          <w:tcPr>
            <w:tcW w:w="4420" w:type="dxa"/>
            <w:tcBorders>
              <w:top w:val="nil"/>
              <w:left w:val="single" w:sz="8" w:space="0" w:color="auto"/>
              <w:bottom w:val="single" w:sz="8" w:space="0" w:color="auto"/>
              <w:right w:val="single" w:sz="8" w:space="0" w:color="auto"/>
            </w:tcBorders>
            <w:shd w:val="clear" w:color="000000" w:fill="FFFFFF"/>
            <w:vAlign w:val="center"/>
          </w:tcPr>
          <w:p w14:paraId="129A7753" w14:textId="77777777" w:rsidR="003C02CA" w:rsidRPr="004A2838" w:rsidRDefault="003C02CA" w:rsidP="002F7BA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Council Tax Increase – Freeze in 22/23 and in 23/24 and 1.99% increase in 24/25</w:t>
            </w:r>
          </w:p>
        </w:tc>
        <w:tc>
          <w:tcPr>
            <w:tcW w:w="1260" w:type="dxa"/>
            <w:tcBorders>
              <w:top w:val="nil"/>
              <w:left w:val="nil"/>
              <w:bottom w:val="single" w:sz="8" w:space="0" w:color="auto"/>
              <w:right w:val="single" w:sz="8" w:space="0" w:color="auto"/>
            </w:tcBorders>
            <w:shd w:val="clear" w:color="000000" w:fill="FFFFFF"/>
            <w:vAlign w:val="center"/>
          </w:tcPr>
          <w:p w14:paraId="4AE06825" w14:textId="77777777" w:rsidR="003C02CA" w:rsidRPr="000F23A2" w:rsidRDefault="003C02CA" w:rsidP="002F7BAE">
            <w:pPr>
              <w:spacing w:after="0" w:line="240" w:lineRule="auto"/>
              <w:jc w:val="right"/>
              <w:rPr>
                <w:rFonts w:ascii="Arial" w:hAnsi="Arial" w:cs="Arial"/>
                <w:color w:val="FF0000"/>
              </w:rPr>
            </w:pPr>
            <w:r w:rsidRPr="000F23A2">
              <w:rPr>
                <w:rFonts w:ascii="Arial" w:hAnsi="Arial" w:cs="Arial"/>
                <w:color w:val="FF0000"/>
              </w:rPr>
              <w:t>(0.000)</w:t>
            </w:r>
          </w:p>
        </w:tc>
        <w:tc>
          <w:tcPr>
            <w:tcW w:w="1020" w:type="dxa"/>
            <w:tcBorders>
              <w:top w:val="nil"/>
              <w:left w:val="nil"/>
              <w:bottom w:val="single" w:sz="8" w:space="0" w:color="auto"/>
              <w:right w:val="single" w:sz="8" w:space="0" w:color="auto"/>
            </w:tcBorders>
            <w:shd w:val="clear" w:color="000000" w:fill="FFFFFF"/>
            <w:vAlign w:val="center"/>
          </w:tcPr>
          <w:p w14:paraId="1E0827BD" w14:textId="77777777" w:rsidR="003C02CA" w:rsidRPr="000F23A2" w:rsidRDefault="003C02CA" w:rsidP="002F7BAE">
            <w:pPr>
              <w:spacing w:after="0" w:line="240" w:lineRule="auto"/>
              <w:jc w:val="right"/>
              <w:rPr>
                <w:rFonts w:ascii="Arial" w:hAnsi="Arial" w:cs="Arial"/>
                <w:color w:val="FF0000"/>
              </w:rPr>
            </w:pPr>
            <w:r w:rsidRPr="000F23A2">
              <w:rPr>
                <w:rFonts w:ascii="Arial" w:hAnsi="Arial" w:cs="Arial"/>
                <w:color w:val="FF0000"/>
              </w:rPr>
              <w:t>(0.000)</w:t>
            </w:r>
          </w:p>
        </w:tc>
        <w:tc>
          <w:tcPr>
            <w:tcW w:w="1020" w:type="dxa"/>
            <w:tcBorders>
              <w:top w:val="nil"/>
              <w:left w:val="nil"/>
              <w:bottom w:val="single" w:sz="8" w:space="0" w:color="auto"/>
              <w:right w:val="single" w:sz="8" w:space="0" w:color="auto"/>
            </w:tcBorders>
            <w:shd w:val="clear" w:color="000000" w:fill="FFFFFF"/>
            <w:vAlign w:val="center"/>
          </w:tcPr>
          <w:p w14:paraId="39E93E66" w14:textId="77777777" w:rsidR="003C02CA" w:rsidRPr="000F23A2" w:rsidRDefault="003C02CA" w:rsidP="002F7BAE">
            <w:pPr>
              <w:spacing w:after="0" w:line="240" w:lineRule="auto"/>
              <w:jc w:val="right"/>
              <w:rPr>
                <w:rFonts w:ascii="Arial" w:hAnsi="Arial" w:cs="Arial"/>
                <w:color w:val="FF0000"/>
              </w:rPr>
            </w:pPr>
            <w:r w:rsidRPr="000F23A2">
              <w:rPr>
                <w:rFonts w:ascii="Arial" w:hAnsi="Arial" w:cs="Arial"/>
                <w:color w:val="FF0000"/>
              </w:rPr>
              <w:t>(0.162)</w:t>
            </w:r>
          </w:p>
        </w:tc>
      </w:tr>
      <w:tr w:rsidR="003C02CA" w:rsidRPr="004A2838" w14:paraId="500D2000" w14:textId="77777777" w:rsidTr="002F7BAE">
        <w:trPr>
          <w:trHeight w:val="315"/>
        </w:trPr>
        <w:tc>
          <w:tcPr>
            <w:tcW w:w="4420" w:type="dxa"/>
            <w:tcBorders>
              <w:top w:val="nil"/>
              <w:left w:val="nil"/>
              <w:bottom w:val="nil"/>
              <w:right w:val="nil"/>
            </w:tcBorders>
            <w:shd w:val="clear" w:color="000000" w:fill="FFFFFF"/>
            <w:vAlign w:val="center"/>
            <w:hideMark/>
          </w:tcPr>
          <w:p w14:paraId="0DFF2F01" w14:textId="77777777" w:rsidR="003C02CA" w:rsidRPr="004A2838" w:rsidRDefault="003C02CA" w:rsidP="002F7BAE">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nil"/>
              <w:right w:val="nil"/>
            </w:tcBorders>
            <w:shd w:val="clear" w:color="000000" w:fill="FFFFFF"/>
            <w:vAlign w:val="center"/>
            <w:hideMark/>
          </w:tcPr>
          <w:p w14:paraId="11BAFD2D" w14:textId="77777777" w:rsidR="003C02CA" w:rsidRPr="000F23A2" w:rsidRDefault="003C02CA" w:rsidP="002F7BAE">
            <w:pPr>
              <w:spacing w:after="0" w:line="240" w:lineRule="auto"/>
              <w:jc w:val="right"/>
              <w:rPr>
                <w:rFonts w:ascii="Arial" w:eastAsia="Times New Roman" w:hAnsi="Arial" w:cs="Arial"/>
                <w:b/>
                <w:bCs/>
                <w:color w:val="000000"/>
                <w:sz w:val="12"/>
                <w:szCs w:val="12"/>
                <w:lang w:eastAsia="en-GB"/>
              </w:rPr>
            </w:pPr>
            <w:r w:rsidRPr="000F23A2">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4D8F6995" w14:textId="77777777" w:rsidR="003C02CA" w:rsidRPr="000F23A2" w:rsidRDefault="003C02CA" w:rsidP="002F7BAE">
            <w:pPr>
              <w:spacing w:after="0" w:line="240" w:lineRule="auto"/>
              <w:jc w:val="right"/>
              <w:rPr>
                <w:rFonts w:ascii="Arial" w:eastAsia="Times New Roman" w:hAnsi="Arial" w:cs="Arial"/>
                <w:b/>
                <w:bCs/>
                <w:color w:val="000000"/>
                <w:sz w:val="12"/>
                <w:szCs w:val="12"/>
                <w:lang w:eastAsia="en-GB"/>
              </w:rPr>
            </w:pPr>
            <w:r w:rsidRPr="000F23A2">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11D268DA" w14:textId="77777777" w:rsidR="003C02CA" w:rsidRPr="000F23A2" w:rsidRDefault="003C02CA" w:rsidP="002F7BAE">
            <w:pPr>
              <w:spacing w:after="0" w:line="240" w:lineRule="auto"/>
              <w:jc w:val="right"/>
              <w:rPr>
                <w:rFonts w:ascii="Arial" w:eastAsia="Times New Roman" w:hAnsi="Arial" w:cs="Arial"/>
                <w:b/>
                <w:bCs/>
                <w:color w:val="000000"/>
                <w:sz w:val="12"/>
                <w:szCs w:val="12"/>
                <w:lang w:eastAsia="en-GB"/>
              </w:rPr>
            </w:pPr>
            <w:r w:rsidRPr="000F23A2">
              <w:rPr>
                <w:rFonts w:ascii="Arial" w:hAnsi="Arial" w:cs="Arial"/>
                <w:b/>
                <w:bCs/>
                <w:color w:val="000000"/>
                <w:sz w:val="12"/>
                <w:szCs w:val="12"/>
              </w:rPr>
              <w:t> </w:t>
            </w:r>
          </w:p>
        </w:tc>
      </w:tr>
      <w:tr w:rsidR="003C02CA" w:rsidRPr="004A2838" w14:paraId="6B49CFB7" w14:textId="77777777" w:rsidTr="002F7BAE">
        <w:trPr>
          <w:trHeight w:val="315"/>
        </w:trPr>
        <w:tc>
          <w:tcPr>
            <w:tcW w:w="4420"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229191AB" w14:textId="77777777" w:rsidR="003C02CA" w:rsidRPr="004A2838" w:rsidRDefault="003C02CA" w:rsidP="002F7BAE">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 xml:space="preserve">NET DEFICIT / (SURPLUS) </w:t>
            </w:r>
          </w:p>
        </w:tc>
        <w:tc>
          <w:tcPr>
            <w:tcW w:w="1260" w:type="dxa"/>
            <w:tcBorders>
              <w:top w:val="single" w:sz="8" w:space="0" w:color="auto"/>
              <w:left w:val="nil"/>
              <w:bottom w:val="single" w:sz="8" w:space="0" w:color="auto"/>
              <w:right w:val="single" w:sz="8" w:space="0" w:color="auto"/>
            </w:tcBorders>
            <w:shd w:val="clear" w:color="000000" w:fill="0070C0"/>
            <w:vAlign w:val="center"/>
            <w:hideMark/>
          </w:tcPr>
          <w:p w14:paraId="458E15A7" w14:textId="77777777" w:rsidR="003C02CA" w:rsidRPr="000F23A2" w:rsidRDefault="003C02CA" w:rsidP="002F7BAE">
            <w:pPr>
              <w:spacing w:after="0" w:line="240" w:lineRule="auto"/>
              <w:jc w:val="right"/>
              <w:rPr>
                <w:rFonts w:ascii="Arial" w:eastAsia="Times New Roman" w:hAnsi="Arial" w:cs="Arial"/>
                <w:b/>
                <w:bCs/>
                <w:color w:val="FFFFFF"/>
                <w:lang w:eastAsia="en-GB"/>
              </w:rPr>
            </w:pPr>
            <w:r w:rsidRPr="000F23A2">
              <w:rPr>
                <w:rFonts w:ascii="Arial" w:hAnsi="Arial" w:cs="Arial"/>
                <w:b/>
                <w:bCs/>
                <w:color w:val="FFFFFF"/>
              </w:rPr>
              <w:t>0.000</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76E17AE9" w14:textId="77777777" w:rsidR="003C02CA" w:rsidRPr="000F23A2" w:rsidRDefault="003C02CA" w:rsidP="002F7BAE">
            <w:pPr>
              <w:spacing w:after="0" w:line="240" w:lineRule="auto"/>
              <w:jc w:val="right"/>
              <w:rPr>
                <w:rFonts w:ascii="Arial" w:eastAsia="Times New Roman" w:hAnsi="Arial" w:cs="Arial"/>
                <w:b/>
                <w:bCs/>
                <w:color w:val="FFFFFF"/>
                <w:lang w:eastAsia="en-GB"/>
              </w:rPr>
            </w:pPr>
            <w:r w:rsidRPr="000F23A2">
              <w:rPr>
                <w:rFonts w:ascii="Arial" w:hAnsi="Arial" w:cs="Arial"/>
                <w:b/>
                <w:bCs/>
                <w:color w:val="FFFFFF"/>
              </w:rPr>
              <w:t>0.</w:t>
            </w:r>
            <w:r>
              <w:rPr>
                <w:rFonts w:ascii="Arial" w:hAnsi="Arial" w:cs="Arial"/>
                <w:b/>
                <w:bCs/>
                <w:color w:val="FFFFFF"/>
              </w:rPr>
              <w:t>619</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43353547" w14:textId="77777777" w:rsidR="003C02CA" w:rsidRPr="000F23A2" w:rsidRDefault="003C02CA" w:rsidP="002F7BAE">
            <w:pPr>
              <w:spacing w:after="0" w:line="240" w:lineRule="auto"/>
              <w:jc w:val="right"/>
              <w:rPr>
                <w:rFonts w:ascii="Arial" w:eastAsia="Times New Roman" w:hAnsi="Arial" w:cs="Arial"/>
                <w:b/>
                <w:bCs/>
                <w:color w:val="FFFFFF"/>
                <w:lang w:eastAsia="en-GB"/>
              </w:rPr>
            </w:pPr>
            <w:r w:rsidRPr="000F23A2">
              <w:rPr>
                <w:rFonts w:ascii="Arial" w:hAnsi="Arial" w:cs="Arial"/>
                <w:b/>
                <w:bCs/>
                <w:color w:val="FFFFFF"/>
              </w:rPr>
              <w:t>0.</w:t>
            </w:r>
            <w:r>
              <w:rPr>
                <w:rFonts w:ascii="Arial" w:hAnsi="Arial" w:cs="Arial"/>
                <w:b/>
                <w:bCs/>
                <w:color w:val="FFFFFF"/>
              </w:rPr>
              <w:t>732</w:t>
            </w:r>
          </w:p>
        </w:tc>
      </w:tr>
    </w:tbl>
    <w:p w14:paraId="09B2810A" w14:textId="77777777" w:rsidR="003C02CA" w:rsidRPr="00F76119" w:rsidRDefault="003C02CA" w:rsidP="003C02CA">
      <w:pPr>
        <w:pBdr>
          <w:top w:val="single" w:sz="2" w:space="1" w:color="FFFFFF"/>
          <w:left w:val="single" w:sz="2" w:space="0" w:color="FFFFFF"/>
          <w:bottom w:val="single" w:sz="2" w:space="2" w:color="FFFFFF"/>
          <w:right w:val="single" w:sz="2" w:space="4" w:color="FFFFFF"/>
        </w:pBdr>
        <w:spacing w:line="240" w:lineRule="auto"/>
        <w:ind w:left="567" w:right="141"/>
        <w:jc w:val="both"/>
        <w:rPr>
          <w:b/>
          <w:iCs/>
        </w:rPr>
      </w:pPr>
    </w:p>
    <w:p w14:paraId="200D234B" w14:textId="77777777" w:rsidR="003C02CA" w:rsidRPr="00B53C97" w:rsidRDefault="003C02CA" w:rsidP="003C02CA">
      <w:pPr>
        <w:pStyle w:val="ListParagraph"/>
        <w:numPr>
          <w:ilvl w:val="0"/>
          <w:numId w:val="11"/>
        </w:numPr>
        <w:tabs>
          <w:tab w:val="left" w:pos="567"/>
        </w:tabs>
        <w:spacing w:before="240" w:after="0" w:line="240" w:lineRule="auto"/>
        <w:jc w:val="both"/>
        <w:rPr>
          <w:rFonts w:ascii="Arial" w:hAnsi="Arial" w:cs="Arial"/>
          <w:u w:val="single"/>
        </w:rPr>
      </w:pPr>
      <w:r w:rsidRPr="00524BEE">
        <w:rPr>
          <w:bCs/>
          <w:iCs/>
        </w:rPr>
        <w:t xml:space="preserve">The council receives approximately £700k per annum external grant funding to deliver its Disabled Facilities programme. This funding enables residents to adapt their homes so that they can continue to live independently. The council currently charges a 5% administration charge to the fund to part-fund South </w:t>
      </w:r>
      <w:proofErr w:type="spellStart"/>
      <w:r w:rsidRPr="00524BEE">
        <w:rPr>
          <w:bCs/>
          <w:iCs/>
        </w:rPr>
        <w:t>Ribble</w:t>
      </w:r>
      <w:proofErr w:type="spellEnd"/>
      <w:r w:rsidRPr="00524BEE">
        <w:rPr>
          <w:bCs/>
          <w:iCs/>
        </w:rPr>
        <w:t xml:space="preserve"> staffing costs of delivering the programme. A review of the service has indicated that this charge is not sufficient to meet the costs of delivery and so the administration charge will be brough</w:t>
      </w:r>
      <w:r>
        <w:rPr>
          <w:bCs/>
          <w:iCs/>
        </w:rPr>
        <w:t>t</w:t>
      </w:r>
      <w:r w:rsidRPr="00524BEE">
        <w:rPr>
          <w:bCs/>
          <w:iCs/>
        </w:rPr>
        <w:t xml:space="preserve"> into line </w:t>
      </w:r>
      <w:r>
        <w:rPr>
          <w:bCs/>
          <w:iCs/>
        </w:rPr>
        <w:t xml:space="preserve">with the actual costs of managing the scheme. This charge is in line with the administration charges of other neighbouring authorities. </w:t>
      </w:r>
      <w:r w:rsidRPr="00524BEE">
        <w:rPr>
          <w:bCs/>
          <w:iCs/>
        </w:rPr>
        <w:t xml:space="preserve"> The additional income from this increased charge will also fund an additional post to support the scheme. The increase in the administration charge will not affect the council’s obligation to meet the demand for adaptations from its residents</w:t>
      </w:r>
      <w:r>
        <w:rPr>
          <w:bCs/>
          <w:iCs/>
        </w:rPr>
        <w:t xml:space="preserve"> and is not an additional charge to residents.</w:t>
      </w:r>
    </w:p>
    <w:p w14:paraId="330FB2BD" w14:textId="77777777" w:rsidR="003C02CA" w:rsidRPr="00B53C97" w:rsidRDefault="003C02CA" w:rsidP="003C02CA">
      <w:pPr>
        <w:pStyle w:val="ListParagraph"/>
        <w:spacing w:before="240" w:after="0" w:line="240" w:lineRule="auto"/>
        <w:ind w:left="567"/>
        <w:jc w:val="both"/>
        <w:rPr>
          <w:rFonts w:ascii="Arial" w:hAnsi="Arial" w:cs="Arial"/>
          <w:u w:val="single"/>
        </w:rPr>
      </w:pPr>
    </w:p>
    <w:p w14:paraId="7C48C2DD" w14:textId="77777777" w:rsidR="003C02CA"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pPr>
      <w:r>
        <w:rPr>
          <w:rFonts w:ascii="Arial" w:hAnsi="Arial" w:cs="Arial"/>
          <w:color w:val="FFFFFF" w:themeColor="background1"/>
          <w:sz w:val="24"/>
          <w:szCs w:val="24"/>
        </w:rPr>
        <w:t>INVESTING IN OUR PRIORITIES</w:t>
      </w:r>
    </w:p>
    <w:p w14:paraId="0E68A00F" w14:textId="77777777" w:rsidR="003C02CA" w:rsidRPr="00524BEE" w:rsidRDefault="003C02CA" w:rsidP="003C02CA">
      <w:pPr>
        <w:pStyle w:val="ListParagraph"/>
        <w:numPr>
          <w:ilvl w:val="0"/>
          <w:numId w:val="11"/>
        </w:numPr>
        <w:tabs>
          <w:tab w:val="left" w:pos="567"/>
        </w:tabs>
        <w:spacing w:before="240" w:after="0" w:line="240" w:lineRule="auto"/>
        <w:jc w:val="both"/>
        <w:rPr>
          <w:i/>
          <w:iCs/>
        </w:rPr>
        <w:sectPr w:rsidR="003C02CA" w:rsidRPr="00524BEE" w:rsidSect="00184219">
          <w:pgSz w:w="11906" w:h="16838"/>
          <w:pgMar w:top="1440" w:right="1440" w:bottom="1440" w:left="1440" w:header="708" w:footer="708" w:gutter="0"/>
          <w:cols w:space="708"/>
          <w:docGrid w:linePitch="360"/>
        </w:sectPr>
      </w:pPr>
      <w:r w:rsidRPr="006341B8">
        <w:rPr>
          <w:rFonts w:ascii="Arial" w:hAnsi="Arial" w:cs="Arial"/>
        </w:rPr>
        <w:t xml:space="preserve">The </w:t>
      </w:r>
      <w:r w:rsidRPr="006341B8">
        <w:rPr>
          <w:bCs/>
          <w:iCs/>
        </w:rPr>
        <w:t>council continues to invest in delivering the ambitions set out in its Corporate Strategy and to ensure that the council delivers high quality services to its residents. The key areas of investment are set out on the following pages.</w:t>
      </w:r>
    </w:p>
    <w:p w14:paraId="5ED11805" w14:textId="77777777" w:rsidR="003C02CA" w:rsidRPr="00524BEE" w:rsidRDefault="003C02CA" w:rsidP="003C02CA">
      <w:r w:rsidRPr="00524BEE">
        <w:rPr>
          <w:rFonts w:cs="Arial"/>
          <w:b/>
          <w:bCs/>
          <w:noProof/>
          <w:color w:val="31849B" w:themeColor="accent5" w:themeShade="BF"/>
          <w:sz w:val="44"/>
          <w:szCs w:val="44"/>
        </w:rPr>
        <w:lastRenderedPageBreak/>
        <mc:AlternateContent>
          <mc:Choice Requires="wps">
            <w:drawing>
              <wp:anchor distT="0" distB="0" distL="114300" distR="114300" simplePos="0" relativeHeight="251660288" behindDoc="0" locked="0" layoutInCell="1" allowOverlap="1" wp14:anchorId="70105EE1" wp14:editId="3F14BFBF">
                <wp:simplePos x="0" y="0"/>
                <wp:positionH relativeFrom="margin">
                  <wp:posOffset>-38100</wp:posOffset>
                </wp:positionH>
                <wp:positionV relativeFrom="paragraph">
                  <wp:posOffset>347345</wp:posOffset>
                </wp:positionV>
                <wp:extent cx="9686925" cy="8667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9686925" cy="866775"/>
                        </a:xfrm>
                        <a:prstGeom prst="rect">
                          <a:avLst/>
                        </a:prstGeom>
                        <a:solidFill>
                          <a:schemeClr val="lt1"/>
                        </a:solidFill>
                        <a:ln w="6350">
                          <a:noFill/>
                        </a:ln>
                      </wps:spPr>
                      <wps:txbx>
                        <w:txbxContent>
                          <w:p w14:paraId="15C211D5" w14:textId="77777777" w:rsidR="003C02CA" w:rsidRPr="00A27A9C" w:rsidRDefault="003C02CA" w:rsidP="003C02CA">
                            <w:pPr>
                              <w:contextualSpacing/>
                              <w:rPr>
                                <w:rFonts w:cs="Arial"/>
                                <w:sz w:val="24"/>
                                <w:szCs w:val="24"/>
                                <w:lang w:val="en-US"/>
                              </w:rPr>
                            </w:pPr>
                            <w:r w:rsidRPr="00A27A9C">
                              <w:rPr>
                                <w:rFonts w:cs="Arial"/>
                                <w:sz w:val="24"/>
                                <w:szCs w:val="24"/>
                                <w:lang w:val="en-US"/>
                              </w:rPr>
                              <w:t>In 2021/22 the council allocated over £1m</w:t>
                            </w:r>
                            <w:r w:rsidRPr="00A27A9C">
                              <w:rPr>
                                <w:rFonts w:cs="Arial"/>
                                <w:b/>
                                <w:bCs/>
                                <w:color w:val="FF0000"/>
                                <w:sz w:val="24"/>
                                <w:szCs w:val="24"/>
                                <w:lang w:val="en-US"/>
                              </w:rPr>
                              <w:t xml:space="preserve"> </w:t>
                            </w:r>
                            <w:r w:rsidRPr="00A27A9C">
                              <w:rPr>
                                <w:rFonts w:cs="Arial"/>
                                <w:sz w:val="24"/>
                                <w:szCs w:val="24"/>
                                <w:lang w:val="en-US"/>
                              </w:rPr>
                              <w:t xml:space="preserve">of revenue investment to deliver corporate strategy priorities through projects and initiatives. These ensured that the right conditions are created and provide the opportunities for everyone in South Ribble to succeed and thrive. In line with our four priorities these investments ensure a healthy and happy community, flourishing together in a safer and fairer borough that is led by a council </w:t>
                            </w:r>
                            <w:r w:rsidRPr="00A27A9C">
                              <w:rPr>
                                <w:rFonts w:cs="Arial"/>
                                <w:sz w:val="24"/>
                                <w:szCs w:val="24"/>
                              </w:rPr>
                              <w:t>recognised</w:t>
                            </w:r>
                            <w:r w:rsidRPr="00A27A9C">
                              <w:rPr>
                                <w:rFonts w:cs="Arial"/>
                                <w:sz w:val="24"/>
                                <w:szCs w:val="24"/>
                                <w:lang w:val="en-US"/>
                              </w:rPr>
                              <w:t xml:space="preserve"> for being innovative, financially sustainable and accountable. </w:t>
                            </w:r>
                          </w:p>
                          <w:p w14:paraId="5132CF3A" w14:textId="77777777" w:rsidR="003C02CA" w:rsidRPr="00B233DD" w:rsidRDefault="003C02CA" w:rsidP="003C02CA">
                            <w:pPr>
                              <w:contextualSpacing/>
                              <w:rPr>
                                <w:rFonts w:cs="Arial"/>
                                <w:lang w:val="en-US"/>
                              </w:rPr>
                            </w:pPr>
                          </w:p>
                          <w:p w14:paraId="2544BC6A" w14:textId="77777777" w:rsidR="003C02CA" w:rsidRPr="001C6CD9" w:rsidRDefault="003C02CA" w:rsidP="003C02CA">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05EE1" id="_x0000_t202" coordsize="21600,21600" o:spt="202" path="m,l,21600r21600,l21600,xe">
                <v:stroke joinstyle="miter"/>
                <v:path gradientshapeok="t" o:connecttype="rect"/>
              </v:shapetype>
              <v:shape id="Text Box 13" o:spid="_x0000_s1026" type="#_x0000_t202" style="position:absolute;margin-left:-3pt;margin-top:27.35pt;width:762.7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" fillcolor="white [3201]" stroked="f" strokeweight=".5pt">
                <v:textbox>
                  <w:txbxContent>
                    <w:p w14:paraId="15C211D5" w14:textId="77777777" w:rsidR="003C02CA" w:rsidRPr="00A27A9C" w:rsidRDefault="003C02CA" w:rsidP="003C02CA">
                      <w:pPr>
                        <w:contextualSpacing/>
                        <w:rPr>
                          <w:rFonts w:cs="Arial"/>
                          <w:sz w:val="24"/>
                          <w:szCs w:val="24"/>
                          <w:lang w:val="en-US"/>
                        </w:rPr>
                      </w:pPr>
                      <w:r w:rsidRPr="00A27A9C">
                        <w:rPr>
                          <w:rFonts w:cs="Arial"/>
                          <w:sz w:val="24"/>
                          <w:szCs w:val="24"/>
                          <w:lang w:val="en-US"/>
                        </w:rPr>
                        <w:t>In 2021/22 the council allocated over £1m</w:t>
                      </w:r>
                      <w:r w:rsidRPr="00A27A9C">
                        <w:rPr>
                          <w:rFonts w:cs="Arial"/>
                          <w:b/>
                          <w:bCs/>
                          <w:color w:val="FF0000"/>
                          <w:sz w:val="24"/>
                          <w:szCs w:val="24"/>
                          <w:lang w:val="en-US"/>
                        </w:rPr>
                        <w:t xml:space="preserve"> </w:t>
                      </w:r>
                      <w:r w:rsidRPr="00A27A9C">
                        <w:rPr>
                          <w:rFonts w:cs="Arial"/>
                          <w:sz w:val="24"/>
                          <w:szCs w:val="24"/>
                          <w:lang w:val="en-US"/>
                        </w:rPr>
                        <w:t xml:space="preserve">of revenue investment to deliver corporate strategy priorities through projects and initiatives. These ensured that the right conditions are created and provide the opportunities for everyone in South Ribble to succeed and thrive. In line with our four priorities these investments ensure a healthy and happy community, flourishing together in a safer and fairer borough that is led by a council </w:t>
                      </w:r>
                      <w:r w:rsidRPr="00A27A9C">
                        <w:rPr>
                          <w:rFonts w:cs="Arial"/>
                          <w:sz w:val="24"/>
                          <w:szCs w:val="24"/>
                        </w:rPr>
                        <w:t>recognised</w:t>
                      </w:r>
                      <w:r w:rsidRPr="00A27A9C">
                        <w:rPr>
                          <w:rFonts w:cs="Arial"/>
                          <w:sz w:val="24"/>
                          <w:szCs w:val="24"/>
                          <w:lang w:val="en-US"/>
                        </w:rPr>
                        <w:t xml:space="preserve"> for being innovative, financially sustainable and accountable. </w:t>
                      </w:r>
                    </w:p>
                    <w:p w14:paraId="5132CF3A" w14:textId="77777777" w:rsidR="003C02CA" w:rsidRPr="00B233DD" w:rsidRDefault="003C02CA" w:rsidP="003C02CA">
                      <w:pPr>
                        <w:contextualSpacing/>
                        <w:rPr>
                          <w:rFonts w:cs="Arial"/>
                          <w:lang w:val="en-US"/>
                        </w:rPr>
                      </w:pPr>
                    </w:p>
                    <w:p w14:paraId="2544BC6A" w14:textId="77777777" w:rsidR="003C02CA" w:rsidRPr="001C6CD9" w:rsidRDefault="003C02CA" w:rsidP="003C02CA">
                      <w:pPr>
                        <w:rPr>
                          <w:color w:val="808080" w:themeColor="background1" w:themeShade="80"/>
                        </w:rPr>
                      </w:pPr>
                    </w:p>
                  </w:txbxContent>
                </v:textbox>
                <w10:wrap anchorx="margin"/>
              </v:shape>
            </w:pict>
          </mc:Fallback>
        </mc:AlternateContent>
      </w:r>
      <w:r w:rsidRPr="00524BEE">
        <w:rPr>
          <w:rFonts w:cs="Arial"/>
          <w:b/>
          <w:bCs/>
          <w:color w:val="31849B" w:themeColor="accent5" w:themeShade="BF"/>
          <w:sz w:val="44"/>
          <w:szCs w:val="44"/>
        </w:rPr>
        <w:t>Investing in corporate priorities</w:t>
      </w:r>
      <w:r w:rsidRPr="00524BEE">
        <w:rPr>
          <w:color w:val="FF0000"/>
          <w:sz w:val="36"/>
          <w:szCs w:val="36"/>
        </w:rPr>
        <w:t xml:space="preserve"> </w:t>
      </w:r>
    </w:p>
    <w:p w14:paraId="169356FA" w14:textId="77777777" w:rsidR="003C02CA" w:rsidRPr="00524BEE" w:rsidRDefault="003C02CA" w:rsidP="003C02CA">
      <w:pPr>
        <w:contextualSpacing/>
        <w:rPr>
          <w:rFonts w:cs="Arial"/>
          <w:sz w:val="24"/>
          <w:szCs w:val="24"/>
        </w:rPr>
      </w:pPr>
    </w:p>
    <w:p w14:paraId="2D7C8286" w14:textId="77777777" w:rsidR="003C02CA" w:rsidRPr="00524BEE"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
    <w:p w14:paraId="1CA81005" w14:textId="77777777" w:rsidR="003C02CA" w:rsidRPr="00524BEE"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
    <w:p w14:paraId="767B5246" w14:textId="77777777" w:rsidR="003C02CA" w:rsidRPr="00524BEE"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b/>
          <w:bCs/>
          <w:noProof/>
          <w:color w:val="31849B" w:themeColor="accent5" w:themeShade="BF"/>
          <w:sz w:val="44"/>
          <w:szCs w:val="44"/>
        </w:rPr>
        <mc:AlternateContent>
          <mc:Choice Requires="wps">
            <w:drawing>
              <wp:anchor distT="0" distB="0" distL="114300" distR="114300" simplePos="0" relativeHeight="251665408" behindDoc="1" locked="0" layoutInCell="1" allowOverlap="1" wp14:anchorId="1A0CCC58" wp14:editId="78080A28">
                <wp:simplePos x="0" y="0"/>
                <wp:positionH relativeFrom="page">
                  <wp:posOffset>1743075</wp:posOffset>
                </wp:positionH>
                <wp:positionV relativeFrom="paragraph">
                  <wp:posOffset>283845</wp:posOffset>
                </wp:positionV>
                <wp:extent cx="8810625" cy="1362075"/>
                <wp:effectExtent l="0" t="0" r="28575" b="28575"/>
                <wp:wrapTight wrapText="bothSides">
                  <wp:wrapPolygon edited="0">
                    <wp:start x="0" y="0"/>
                    <wp:lineTo x="0" y="21751"/>
                    <wp:lineTo x="21623" y="21751"/>
                    <wp:lineTo x="2162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8810625" cy="1362075"/>
                        </a:xfrm>
                        <a:prstGeom prst="rect">
                          <a:avLst/>
                        </a:prstGeom>
                        <a:solidFill>
                          <a:schemeClr val="lt1"/>
                        </a:solidFill>
                        <a:ln w="19050">
                          <a:solidFill>
                            <a:srgbClr val="FF0000"/>
                          </a:solidFill>
                        </a:ln>
                      </wps:spPr>
                      <wps:txbx>
                        <w:txbxContent>
                          <w:p w14:paraId="79596800" w14:textId="77777777" w:rsidR="003C02CA" w:rsidRPr="00524BEE" w:rsidRDefault="003C02CA" w:rsidP="003C02CA">
                            <w:pPr>
                              <w:spacing w:after="0"/>
                              <w:rPr>
                                <w:rFonts w:ascii="Arial" w:hAnsi="Arial" w:cs="Arial"/>
                                <w:b/>
                                <w:bCs/>
                                <w:color w:val="FF0000"/>
                                <w:sz w:val="21"/>
                                <w:szCs w:val="21"/>
                              </w:rPr>
                            </w:pPr>
                            <w:r w:rsidRPr="00524BEE">
                              <w:rPr>
                                <w:rFonts w:ascii="Arial" w:hAnsi="Arial" w:cs="Arial"/>
                                <w:b/>
                                <w:bCs/>
                                <w:color w:val="FF0000"/>
                                <w:sz w:val="21"/>
                                <w:szCs w:val="21"/>
                              </w:rPr>
                              <w:t xml:space="preserve">Thriving communities </w:t>
                            </w:r>
                          </w:p>
                          <w:p w14:paraId="75F7B518" w14:textId="77777777" w:rsidR="003C02CA" w:rsidRPr="00FD3F78" w:rsidRDefault="003C02CA" w:rsidP="003C02CA">
                            <w:pPr>
                              <w:spacing w:after="0"/>
                              <w:rPr>
                                <w:rFonts w:ascii="Arial" w:hAnsi="Arial" w:cs="Arial"/>
                                <w:b/>
                                <w:bCs/>
                                <w:sz w:val="21"/>
                                <w:szCs w:val="21"/>
                              </w:rPr>
                            </w:pPr>
                            <w:r w:rsidRPr="00DE4C5B">
                              <w:rPr>
                                <w:rFonts w:ascii="Arial" w:hAnsi="Arial" w:cs="Arial"/>
                                <w:b/>
                                <w:bCs/>
                                <w:sz w:val="21"/>
                                <w:szCs w:val="21"/>
                              </w:rPr>
                              <w:t>£50</w:t>
                            </w:r>
                            <w:r>
                              <w:rPr>
                                <w:rFonts w:ascii="Arial" w:hAnsi="Arial" w:cs="Arial"/>
                                <w:b/>
                                <w:bCs/>
                                <w:sz w:val="21"/>
                                <w:szCs w:val="21"/>
                              </w:rPr>
                              <w:t>k</w:t>
                            </w:r>
                            <w:r w:rsidRPr="00DE4C5B">
                              <w:rPr>
                                <w:rFonts w:ascii="Arial" w:hAnsi="Arial" w:cs="Arial"/>
                                <w:b/>
                                <w:bCs/>
                                <w:sz w:val="21"/>
                                <w:szCs w:val="21"/>
                              </w:rPr>
                              <w:t xml:space="preserve"> </w:t>
                            </w:r>
                            <w:r w:rsidRPr="00FD3F78">
                              <w:rPr>
                                <w:rFonts w:ascii="Arial" w:hAnsi="Arial" w:cs="Arial"/>
                                <w:sz w:val="21"/>
                                <w:szCs w:val="21"/>
                              </w:rPr>
                              <w:t>which has been provided to support positive mental health for young people. Mental Health First Aid training has been provided, Community Mental Health Awareness sessions have been delivered in Penwortham, Leyland and Bamber Bridge and work continues in the evolution of the South Ribble Together Network, made up of agencies who support the work of the South Ribble Together Hub.</w:t>
                            </w:r>
                            <w:r w:rsidRPr="00FD3F78">
                              <w:rPr>
                                <w:rFonts w:ascii="Arial" w:hAnsi="Arial" w:cs="Arial"/>
                                <w:b/>
                                <w:bCs/>
                                <w:sz w:val="21"/>
                                <w:szCs w:val="21"/>
                              </w:rPr>
                              <w:t xml:space="preserve"> </w:t>
                            </w:r>
                          </w:p>
                          <w:p w14:paraId="3AEB458B" w14:textId="77777777" w:rsidR="003C02CA" w:rsidRPr="00524BEE" w:rsidRDefault="003C02CA" w:rsidP="003C02CA">
                            <w:pPr>
                              <w:rPr>
                                <w:rFonts w:ascii="Arial" w:hAnsi="Arial" w:cs="Arial"/>
                                <w:color w:val="7030A0"/>
                                <w:sz w:val="21"/>
                                <w:szCs w:val="21"/>
                              </w:rPr>
                            </w:pPr>
                            <w:r w:rsidRPr="00DE4C5B">
                              <w:rPr>
                                <w:rFonts w:ascii="Arial" w:hAnsi="Arial" w:cs="Arial"/>
                                <w:b/>
                                <w:bCs/>
                                <w:sz w:val="21"/>
                                <w:szCs w:val="21"/>
                              </w:rPr>
                              <w:t>£265</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 xml:space="preserve">to refurbish Vernon Carus Sports Club, work started on site in January to refurbish the existing club house and changing rooms with completion planned for April ahead of the new Cricket season, this will which provide some of the best sporting facilities for our residents to encourage more and more people to access 'Leisure Local'.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CC58" id="Text Box 6" o:spid="_x0000_s1027" type="#_x0000_t202" style="position:absolute;left:0;text-align:left;margin-left:137.25pt;margin-top:22.35pt;width:693.75pt;height:10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" fillcolor="white [3201]" strokecolor="red" strokeweight="1.5pt">
                <v:textbox>
                  <w:txbxContent>
                    <w:p w14:paraId="79596800" w14:textId="77777777" w:rsidR="003C02CA" w:rsidRPr="00524BEE" w:rsidRDefault="003C02CA" w:rsidP="003C02CA">
                      <w:pPr>
                        <w:spacing w:after="0"/>
                        <w:rPr>
                          <w:rFonts w:ascii="Arial" w:hAnsi="Arial" w:cs="Arial"/>
                          <w:b/>
                          <w:bCs/>
                          <w:color w:val="FF0000"/>
                          <w:sz w:val="21"/>
                          <w:szCs w:val="21"/>
                        </w:rPr>
                      </w:pPr>
                      <w:r w:rsidRPr="00524BEE">
                        <w:rPr>
                          <w:rFonts w:ascii="Arial" w:hAnsi="Arial" w:cs="Arial"/>
                          <w:b/>
                          <w:bCs/>
                          <w:color w:val="FF0000"/>
                          <w:sz w:val="21"/>
                          <w:szCs w:val="21"/>
                        </w:rPr>
                        <w:t xml:space="preserve">Thriving communities </w:t>
                      </w:r>
                    </w:p>
                    <w:p w14:paraId="75F7B518" w14:textId="77777777" w:rsidR="003C02CA" w:rsidRPr="00FD3F78" w:rsidRDefault="003C02CA" w:rsidP="003C02CA">
                      <w:pPr>
                        <w:spacing w:after="0"/>
                        <w:rPr>
                          <w:rFonts w:ascii="Arial" w:hAnsi="Arial" w:cs="Arial"/>
                          <w:b/>
                          <w:bCs/>
                          <w:sz w:val="21"/>
                          <w:szCs w:val="21"/>
                        </w:rPr>
                      </w:pPr>
                      <w:r w:rsidRPr="00DE4C5B">
                        <w:rPr>
                          <w:rFonts w:ascii="Arial" w:hAnsi="Arial" w:cs="Arial"/>
                          <w:b/>
                          <w:bCs/>
                          <w:sz w:val="21"/>
                          <w:szCs w:val="21"/>
                        </w:rPr>
                        <w:t>£50</w:t>
                      </w:r>
                      <w:r>
                        <w:rPr>
                          <w:rFonts w:ascii="Arial" w:hAnsi="Arial" w:cs="Arial"/>
                          <w:b/>
                          <w:bCs/>
                          <w:sz w:val="21"/>
                          <w:szCs w:val="21"/>
                        </w:rPr>
                        <w:t>k</w:t>
                      </w:r>
                      <w:r w:rsidRPr="00DE4C5B">
                        <w:rPr>
                          <w:rFonts w:ascii="Arial" w:hAnsi="Arial" w:cs="Arial"/>
                          <w:b/>
                          <w:bCs/>
                          <w:sz w:val="21"/>
                          <w:szCs w:val="21"/>
                        </w:rPr>
                        <w:t xml:space="preserve"> </w:t>
                      </w:r>
                      <w:r w:rsidRPr="00FD3F78">
                        <w:rPr>
                          <w:rFonts w:ascii="Arial" w:hAnsi="Arial" w:cs="Arial"/>
                          <w:sz w:val="21"/>
                          <w:szCs w:val="21"/>
                        </w:rPr>
                        <w:t>which has been provided to support positive mental health for young people. Mental Health First Aid training has been provided, Community Mental Health Awareness sessions have been delivered in Penwortham, Leyland and Bamber Bridge and work continues in the evolution of the South Ribble Together Network, made up of agencies who support the work of the South Ribble Together Hub.</w:t>
                      </w:r>
                      <w:r w:rsidRPr="00FD3F78">
                        <w:rPr>
                          <w:rFonts w:ascii="Arial" w:hAnsi="Arial" w:cs="Arial"/>
                          <w:b/>
                          <w:bCs/>
                          <w:sz w:val="21"/>
                          <w:szCs w:val="21"/>
                        </w:rPr>
                        <w:t xml:space="preserve"> </w:t>
                      </w:r>
                    </w:p>
                    <w:p w14:paraId="3AEB458B" w14:textId="77777777" w:rsidR="003C02CA" w:rsidRPr="00524BEE" w:rsidRDefault="003C02CA" w:rsidP="003C02CA">
                      <w:pPr>
                        <w:rPr>
                          <w:rFonts w:ascii="Arial" w:hAnsi="Arial" w:cs="Arial"/>
                          <w:color w:val="7030A0"/>
                          <w:sz w:val="21"/>
                          <w:szCs w:val="21"/>
                        </w:rPr>
                      </w:pPr>
                      <w:r w:rsidRPr="00DE4C5B">
                        <w:rPr>
                          <w:rFonts w:ascii="Arial" w:hAnsi="Arial" w:cs="Arial"/>
                          <w:b/>
                          <w:bCs/>
                          <w:sz w:val="21"/>
                          <w:szCs w:val="21"/>
                        </w:rPr>
                        <w:t>£265</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 xml:space="preserve">to refurbish Vernon Carus Sports Club, work started on site in January to refurbish the existing club house and changing rooms with completion planned for April ahead of the new Cricket season, this will which provide some of the best sporting facilities for our residents to encourage more and more people to access 'Leisure Local'. </w:t>
                      </w:r>
                    </w:p>
                  </w:txbxContent>
                </v:textbox>
                <w10:wrap type="tight" anchorx="page"/>
              </v:shape>
            </w:pict>
          </mc:Fallback>
        </mc:AlternateContent>
      </w:r>
      <w:r w:rsidRPr="00524BEE">
        <w:rPr>
          <w:rFonts w:cs="Arial"/>
          <w:b/>
          <w:bCs/>
          <w:noProof/>
          <w:color w:val="31849B" w:themeColor="accent5" w:themeShade="BF"/>
          <w:sz w:val="44"/>
          <w:szCs w:val="44"/>
        </w:rPr>
        <w:drawing>
          <wp:anchor distT="0" distB="0" distL="114300" distR="114300" simplePos="0" relativeHeight="251661312" behindDoc="1" locked="0" layoutInCell="1" allowOverlap="1" wp14:anchorId="677A9797" wp14:editId="65166DD2">
            <wp:simplePos x="0" y="0"/>
            <wp:positionH relativeFrom="margin">
              <wp:align>left</wp:align>
            </wp:positionH>
            <wp:positionV relativeFrom="paragraph">
              <wp:posOffset>398780</wp:posOffset>
            </wp:positionV>
            <wp:extent cx="730288" cy="762039"/>
            <wp:effectExtent l="0" t="0" r="0" b="0"/>
            <wp:wrapTight wrapText="bothSides">
              <wp:wrapPolygon edited="0">
                <wp:start x="0" y="0"/>
                <wp:lineTo x="0" y="21060"/>
                <wp:lineTo x="20849" y="21060"/>
                <wp:lineTo x="20849" y="0"/>
                <wp:lineTo x="0" y="0"/>
              </wp:wrapPolygon>
            </wp:wrapTight>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0288" cy="762039"/>
                    </a:xfrm>
                    <a:prstGeom prst="rect">
                      <a:avLst/>
                    </a:prstGeom>
                  </pic:spPr>
                </pic:pic>
              </a:graphicData>
            </a:graphic>
            <wp14:sizeRelH relativeFrom="page">
              <wp14:pctWidth>0</wp14:pctWidth>
            </wp14:sizeRelH>
            <wp14:sizeRelV relativeFrom="page">
              <wp14:pctHeight>0</wp14:pctHeight>
            </wp14:sizeRelV>
          </wp:anchor>
        </w:drawing>
      </w:r>
    </w:p>
    <w:p w14:paraId="74104C0D" w14:textId="77777777" w:rsidR="003C02CA" w:rsidRPr="00524BEE" w:rsidRDefault="003C02CA" w:rsidP="003C02CA">
      <w:pPr>
        <w:rPr>
          <w:rFonts w:cs="Arial"/>
          <w:b/>
          <w:bCs/>
          <w:color w:val="31849B" w:themeColor="accent5" w:themeShade="BF"/>
          <w:sz w:val="44"/>
          <w:szCs w:val="44"/>
        </w:rPr>
      </w:pPr>
      <w:r w:rsidRPr="00524BEE">
        <w:rPr>
          <w:rFonts w:cs="Arial"/>
          <w:b/>
          <w:bCs/>
          <w:noProof/>
          <w:color w:val="31849B" w:themeColor="accent5" w:themeShade="BF"/>
          <w:sz w:val="44"/>
          <w:szCs w:val="44"/>
        </w:rPr>
        <mc:AlternateContent>
          <mc:Choice Requires="wps">
            <w:drawing>
              <wp:anchor distT="45720" distB="45720" distL="114300" distR="114300" simplePos="0" relativeHeight="251666432" behindDoc="1" locked="0" layoutInCell="1" allowOverlap="1" wp14:anchorId="287FF5B2" wp14:editId="5001706D">
                <wp:simplePos x="0" y="0"/>
                <wp:positionH relativeFrom="page">
                  <wp:posOffset>1743075</wp:posOffset>
                </wp:positionH>
                <wp:positionV relativeFrom="paragraph">
                  <wp:posOffset>2733040</wp:posOffset>
                </wp:positionV>
                <wp:extent cx="8801100" cy="1095375"/>
                <wp:effectExtent l="0" t="0" r="19050" b="28575"/>
                <wp:wrapTight wrapText="bothSides">
                  <wp:wrapPolygon edited="0">
                    <wp:start x="0" y="0"/>
                    <wp:lineTo x="0" y="21788"/>
                    <wp:lineTo x="21600" y="21788"/>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095375"/>
                        </a:xfrm>
                        <a:prstGeom prst="rect">
                          <a:avLst/>
                        </a:prstGeom>
                        <a:solidFill>
                          <a:srgbClr val="FFFFFF"/>
                        </a:solidFill>
                        <a:ln w="19050">
                          <a:solidFill>
                            <a:srgbClr val="7030A0"/>
                          </a:solidFill>
                          <a:miter lim="800000"/>
                          <a:headEnd/>
                          <a:tailEnd/>
                        </a:ln>
                      </wps:spPr>
                      <wps:txbx>
                        <w:txbxContent>
                          <w:p w14:paraId="6247C0C7" w14:textId="77777777" w:rsidR="003C02CA" w:rsidRDefault="003C02CA" w:rsidP="003C02CA">
                            <w:pPr>
                              <w:spacing w:after="0"/>
                              <w:rPr>
                                <w:rFonts w:ascii="Arial" w:hAnsi="Arial" w:cs="Arial"/>
                                <w:b/>
                                <w:bCs/>
                                <w:color w:val="7030A0"/>
                                <w:sz w:val="21"/>
                                <w:szCs w:val="21"/>
                              </w:rPr>
                            </w:pPr>
                            <w:r w:rsidRPr="00524BEE">
                              <w:rPr>
                                <w:rFonts w:ascii="Arial" w:hAnsi="Arial" w:cs="Arial"/>
                                <w:b/>
                                <w:bCs/>
                                <w:color w:val="7030A0"/>
                                <w:sz w:val="21"/>
                                <w:szCs w:val="21"/>
                              </w:rPr>
                              <w:t xml:space="preserve">A fair local economy that works for everyone </w:t>
                            </w:r>
                          </w:p>
                          <w:p w14:paraId="75BB9018" w14:textId="77777777" w:rsidR="003C02CA" w:rsidRPr="00600B38" w:rsidRDefault="003C02CA" w:rsidP="003C02CA">
                            <w:pPr>
                              <w:pStyle w:val="NoSpacing"/>
                              <w:jc w:val="both"/>
                              <w:rPr>
                                <w:sz w:val="21"/>
                                <w:szCs w:val="21"/>
                              </w:rPr>
                            </w:pPr>
                            <w:r w:rsidRPr="00600B38">
                              <w:rPr>
                                <w:b/>
                                <w:bCs/>
                                <w:sz w:val="21"/>
                                <w:szCs w:val="21"/>
                              </w:rPr>
                              <w:t>£150k</w:t>
                            </w:r>
                            <w:r w:rsidRPr="00600B38">
                              <w:rPr>
                                <w:sz w:val="21"/>
                                <w:szCs w:val="21"/>
                              </w:rPr>
                              <w:t xml:space="preserve"> which has created a Credit Union that will enable access to safe and ethical banking options for all residents, with nearly 100 new savers during the first two quarters of opening. </w:t>
                            </w:r>
                          </w:p>
                          <w:p w14:paraId="3793E7F3" w14:textId="77777777" w:rsidR="003C02CA" w:rsidRPr="00600B38" w:rsidRDefault="003C02CA" w:rsidP="003C02CA">
                            <w:pPr>
                              <w:pStyle w:val="NoSpacing"/>
                              <w:jc w:val="both"/>
                              <w:rPr>
                                <w:sz w:val="21"/>
                                <w:szCs w:val="21"/>
                              </w:rPr>
                            </w:pPr>
                            <w:r>
                              <w:rPr>
                                <w:b/>
                                <w:bCs/>
                                <w:sz w:val="21"/>
                                <w:szCs w:val="21"/>
                              </w:rPr>
                              <w:t xml:space="preserve">Investment of at least </w:t>
                            </w:r>
                            <w:r w:rsidRPr="00600B38">
                              <w:rPr>
                                <w:b/>
                                <w:bCs/>
                                <w:sz w:val="21"/>
                                <w:szCs w:val="21"/>
                              </w:rPr>
                              <w:t>£33m</w:t>
                            </w:r>
                            <w:r w:rsidRPr="00600B38">
                              <w:rPr>
                                <w:sz w:val="21"/>
                                <w:szCs w:val="21"/>
                              </w:rPr>
                              <w:t xml:space="preserve"> to continue to fund the Town Deal, including £25m of external funding and £8m of match funding by the council, to invest in current and new buildings to create a 'new heart' for Leyland, including Leyland market improvements and a business hub development for business for workspace, events and skills. </w:t>
                            </w:r>
                          </w:p>
                          <w:p w14:paraId="4036193D" w14:textId="77777777" w:rsidR="003C02CA" w:rsidRPr="00524BEE" w:rsidRDefault="003C02CA" w:rsidP="003C02CA">
                            <w:pPr>
                              <w:spacing w:after="0"/>
                              <w:rPr>
                                <w:rFonts w:ascii="Arial" w:hAnsi="Arial" w:cs="Arial"/>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7FF5B2" id="Text Box 2" o:spid="_x0000_s1028" type="#_x0000_t202" style="position:absolute;margin-left:137.25pt;margin-top:215.2pt;width:693pt;height:86.2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" strokecolor="#7030a0" strokeweight="1.5pt">
                <v:textbox>
                  <w:txbxContent>
                    <w:p w14:paraId="6247C0C7" w14:textId="77777777" w:rsidR="003C02CA" w:rsidRDefault="003C02CA" w:rsidP="003C02CA">
                      <w:pPr>
                        <w:spacing w:after="0"/>
                        <w:rPr>
                          <w:rFonts w:ascii="Arial" w:hAnsi="Arial" w:cs="Arial"/>
                          <w:b/>
                          <w:bCs/>
                          <w:color w:val="7030A0"/>
                          <w:sz w:val="21"/>
                          <w:szCs w:val="21"/>
                        </w:rPr>
                      </w:pPr>
                      <w:r w:rsidRPr="00524BEE">
                        <w:rPr>
                          <w:rFonts w:ascii="Arial" w:hAnsi="Arial" w:cs="Arial"/>
                          <w:b/>
                          <w:bCs/>
                          <w:color w:val="7030A0"/>
                          <w:sz w:val="21"/>
                          <w:szCs w:val="21"/>
                        </w:rPr>
                        <w:t xml:space="preserve">A fair local economy that works for everyone </w:t>
                      </w:r>
                    </w:p>
                    <w:p w14:paraId="75BB9018" w14:textId="77777777" w:rsidR="003C02CA" w:rsidRPr="00600B38" w:rsidRDefault="003C02CA" w:rsidP="003C02CA">
                      <w:pPr>
                        <w:pStyle w:val="NoSpacing"/>
                        <w:jc w:val="both"/>
                        <w:rPr>
                          <w:sz w:val="21"/>
                          <w:szCs w:val="21"/>
                        </w:rPr>
                      </w:pPr>
                      <w:r w:rsidRPr="00600B38">
                        <w:rPr>
                          <w:b/>
                          <w:bCs/>
                          <w:sz w:val="21"/>
                          <w:szCs w:val="21"/>
                        </w:rPr>
                        <w:t>£150k</w:t>
                      </w:r>
                      <w:r w:rsidRPr="00600B38">
                        <w:rPr>
                          <w:sz w:val="21"/>
                          <w:szCs w:val="21"/>
                        </w:rPr>
                        <w:t xml:space="preserve"> which has created a Credit Union that will enable access to safe and ethical banking options for all residents, with nearly 100 new savers during the first two quarters of opening. </w:t>
                      </w:r>
                    </w:p>
                    <w:p w14:paraId="3793E7F3" w14:textId="77777777" w:rsidR="003C02CA" w:rsidRPr="00600B38" w:rsidRDefault="003C02CA" w:rsidP="003C02CA">
                      <w:pPr>
                        <w:pStyle w:val="NoSpacing"/>
                        <w:jc w:val="both"/>
                        <w:rPr>
                          <w:sz w:val="21"/>
                          <w:szCs w:val="21"/>
                        </w:rPr>
                      </w:pPr>
                      <w:r>
                        <w:rPr>
                          <w:b/>
                          <w:bCs/>
                          <w:sz w:val="21"/>
                          <w:szCs w:val="21"/>
                        </w:rPr>
                        <w:t xml:space="preserve">Investment of at least </w:t>
                      </w:r>
                      <w:r w:rsidRPr="00600B38">
                        <w:rPr>
                          <w:b/>
                          <w:bCs/>
                          <w:sz w:val="21"/>
                          <w:szCs w:val="21"/>
                        </w:rPr>
                        <w:t>£33m</w:t>
                      </w:r>
                      <w:r w:rsidRPr="00600B38">
                        <w:rPr>
                          <w:sz w:val="21"/>
                          <w:szCs w:val="21"/>
                        </w:rPr>
                        <w:t xml:space="preserve"> to continue to fund the Town Deal, including £25m of external funding and £8m of match funding by the council, to invest in current and new buildings to create a 'new heart' for Leyland, including Leyland market improvements and a business hub development for business for workspace, events and skills. </w:t>
                      </w:r>
                    </w:p>
                    <w:p w14:paraId="4036193D" w14:textId="77777777" w:rsidR="003C02CA" w:rsidRPr="00524BEE" w:rsidRDefault="003C02CA" w:rsidP="003C02CA">
                      <w:pPr>
                        <w:spacing w:after="0"/>
                        <w:rPr>
                          <w:rFonts w:ascii="Arial" w:hAnsi="Arial" w:cs="Arial"/>
                          <w:sz w:val="21"/>
                          <w:szCs w:val="21"/>
                        </w:rPr>
                      </w:pPr>
                    </w:p>
                  </w:txbxContent>
                </v:textbox>
                <w10:wrap type="tight" anchorx="page"/>
              </v:shape>
            </w:pict>
          </mc:Fallback>
        </mc:AlternateContent>
      </w:r>
      <w:r w:rsidRPr="00524BEE">
        <w:rPr>
          <w:rFonts w:cs="Arial"/>
          <w:b/>
          <w:bCs/>
          <w:noProof/>
          <w:color w:val="31849B" w:themeColor="accent5" w:themeShade="BF"/>
          <w:sz w:val="44"/>
          <w:szCs w:val="44"/>
        </w:rPr>
        <mc:AlternateContent>
          <mc:Choice Requires="wps">
            <w:drawing>
              <wp:anchor distT="0" distB="0" distL="114300" distR="114300" simplePos="0" relativeHeight="251668480" behindDoc="1" locked="0" layoutInCell="1" allowOverlap="1" wp14:anchorId="6242D95E" wp14:editId="3999C7D6">
                <wp:simplePos x="0" y="0"/>
                <wp:positionH relativeFrom="page">
                  <wp:posOffset>1762125</wp:posOffset>
                </wp:positionH>
                <wp:positionV relativeFrom="paragraph">
                  <wp:posOffset>1513840</wp:posOffset>
                </wp:positionV>
                <wp:extent cx="8791575" cy="1181100"/>
                <wp:effectExtent l="0" t="0" r="28575" b="19050"/>
                <wp:wrapTight wrapText="bothSides">
                  <wp:wrapPolygon edited="0">
                    <wp:start x="0" y="0"/>
                    <wp:lineTo x="0" y="21600"/>
                    <wp:lineTo x="21623" y="21600"/>
                    <wp:lineTo x="2162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1575" cy="1181100"/>
                        </a:xfrm>
                        <a:prstGeom prst="rect">
                          <a:avLst/>
                        </a:prstGeom>
                        <a:solidFill>
                          <a:srgbClr val="FFFFFF"/>
                        </a:solidFill>
                        <a:ln w="19050">
                          <a:solidFill>
                            <a:srgbClr val="92D050"/>
                          </a:solidFill>
                          <a:miter lim="800000"/>
                          <a:headEnd/>
                          <a:tailEnd/>
                        </a:ln>
                      </wps:spPr>
                      <wps:txbx>
                        <w:txbxContent>
                          <w:p w14:paraId="3639E95B" w14:textId="77777777" w:rsidR="003C02CA" w:rsidRPr="00600B38" w:rsidRDefault="003C02CA" w:rsidP="003C02CA">
                            <w:pPr>
                              <w:spacing w:after="0"/>
                              <w:rPr>
                                <w:rFonts w:ascii="Arial" w:hAnsi="Arial" w:cs="Arial"/>
                                <w:b/>
                                <w:bCs/>
                                <w:color w:val="92D050"/>
                                <w:sz w:val="21"/>
                                <w:szCs w:val="21"/>
                              </w:rPr>
                            </w:pPr>
                            <w:r w:rsidRPr="00600B38">
                              <w:rPr>
                                <w:rFonts w:ascii="Arial" w:hAnsi="Arial" w:cs="Arial"/>
                                <w:b/>
                                <w:bCs/>
                                <w:color w:val="92D050"/>
                                <w:sz w:val="21"/>
                                <w:szCs w:val="21"/>
                              </w:rPr>
                              <w:t xml:space="preserve">Good homes, green spaces, healthy places </w:t>
                            </w:r>
                          </w:p>
                          <w:p w14:paraId="66BA1C0D" w14:textId="77777777" w:rsidR="003C02CA" w:rsidRPr="00600B38" w:rsidRDefault="003C02CA" w:rsidP="003C02CA">
                            <w:pPr>
                              <w:spacing w:after="0"/>
                              <w:rPr>
                                <w:rFonts w:ascii="Arial" w:hAnsi="Arial" w:cs="Arial"/>
                                <w:sz w:val="21"/>
                                <w:szCs w:val="21"/>
                              </w:rPr>
                            </w:pPr>
                            <w:r w:rsidRPr="00600B38">
                              <w:rPr>
                                <w:rFonts w:ascii="Arial" w:hAnsi="Arial" w:cs="Arial"/>
                                <w:b/>
                                <w:bCs/>
                                <w:sz w:val="21"/>
                                <w:szCs w:val="21"/>
                              </w:rPr>
                              <w:t>£2m</w:t>
                            </w:r>
                            <w:r w:rsidRPr="00600B38">
                              <w:rPr>
                                <w:rFonts w:ascii="Arial" w:hAnsi="Arial" w:cs="Arial"/>
                                <w:sz w:val="21"/>
                                <w:szCs w:val="21"/>
                              </w:rPr>
                              <w:t xml:space="preserve"> to continue to deliver affordable housing units with the completion of Tom Hanson House has provided nine new affordable flats which enables residents from across the borough to have access to affordable, safe and environmentally friendly housing, and will meet the demand of stock which is vitally needed. </w:t>
                            </w:r>
                          </w:p>
                          <w:p w14:paraId="0CD31051" w14:textId="77777777" w:rsidR="003C02CA" w:rsidRPr="00600B38" w:rsidRDefault="003C02CA" w:rsidP="003C02CA">
                            <w:pPr>
                              <w:rPr>
                                <w:rFonts w:ascii="Arial" w:hAnsi="Arial" w:cs="Arial"/>
                                <w:sz w:val="21"/>
                                <w:szCs w:val="21"/>
                              </w:rPr>
                            </w:pPr>
                            <w:r w:rsidRPr="00600B38">
                              <w:rPr>
                                <w:rFonts w:ascii="Arial" w:hAnsi="Arial" w:cs="Arial"/>
                                <w:b/>
                                <w:bCs/>
                                <w:sz w:val="21"/>
                                <w:szCs w:val="21"/>
                              </w:rPr>
                              <w:t>£625k</w:t>
                            </w:r>
                            <w:r w:rsidRPr="00600B38">
                              <w:rPr>
                                <w:rFonts w:ascii="Arial" w:hAnsi="Arial" w:cs="Arial"/>
                                <w:sz w:val="21"/>
                                <w:szCs w:val="21"/>
                              </w:rPr>
                              <w:t xml:space="preserve"> was allocated to fund improvements to play areas and open spaces</w:t>
                            </w:r>
                            <w:r>
                              <w:rPr>
                                <w:rFonts w:ascii="Arial" w:hAnsi="Arial" w:cs="Arial"/>
                                <w:sz w:val="21"/>
                                <w:szCs w:val="21"/>
                              </w:rPr>
                              <w:t xml:space="preserve">, in addition a budget of </w:t>
                            </w:r>
                            <w:r w:rsidRPr="00007D2C">
                              <w:rPr>
                                <w:rFonts w:ascii="Arial" w:hAnsi="Arial" w:cs="Arial"/>
                                <w:b/>
                                <w:bCs/>
                                <w:sz w:val="21"/>
                                <w:szCs w:val="21"/>
                              </w:rPr>
                              <w:t>£2.8m</w:t>
                            </w:r>
                            <w:r>
                              <w:rPr>
                                <w:rFonts w:ascii="Arial" w:hAnsi="Arial" w:cs="Arial"/>
                                <w:sz w:val="21"/>
                                <w:szCs w:val="21"/>
                              </w:rPr>
                              <w:t xml:space="preserve"> has been budgeted to construct </w:t>
                            </w:r>
                            <w:r w:rsidRPr="00600B38">
                              <w:rPr>
                                <w:rFonts w:ascii="Arial" w:hAnsi="Arial" w:cs="Arial"/>
                                <w:sz w:val="21"/>
                                <w:szCs w:val="21"/>
                              </w:rPr>
                              <w:t xml:space="preserve"> new state of the art football pitches </w:t>
                            </w:r>
                            <w:r>
                              <w:rPr>
                                <w:rFonts w:ascii="Arial" w:hAnsi="Arial" w:cs="Arial"/>
                                <w:sz w:val="21"/>
                                <w:szCs w:val="21"/>
                              </w:rPr>
                              <w:t xml:space="preserve">that are already </w:t>
                            </w:r>
                            <w:r w:rsidRPr="00600B38">
                              <w:rPr>
                                <w:rFonts w:ascii="Arial" w:hAnsi="Arial" w:cs="Arial"/>
                                <w:sz w:val="21"/>
                                <w:szCs w:val="21"/>
                              </w:rPr>
                              <w:t>under construction</w:t>
                            </w:r>
                            <w:r>
                              <w:rPr>
                                <w:rFonts w:ascii="Arial" w:hAnsi="Arial" w:cs="Arial"/>
                                <w:sz w:val="21"/>
                                <w:szCs w:val="21"/>
                              </w:rPr>
                              <w:t xml:space="preserve"> and due to be finished in early 2022/23.</w:t>
                            </w:r>
                          </w:p>
                          <w:p w14:paraId="1825B4FE" w14:textId="77777777" w:rsidR="003C02CA" w:rsidRPr="00524BEE" w:rsidRDefault="003C02CA" w:rsidP="003C02CA">
                            <w:pPr>
                              <w:rPr>
                                <w:rFonts w:ascii="Arial" w:hAnsi="Arial" w:cs="Arial"/>
                                <w:sz w:val="21"/>
                                <w:szCs w:val="21"/>
                              </w:rPr>
                            </w:pPr>
                          </w:p>
                          <w:p w14:paraId="799D2546" w14:textId="77777777" w:rsidR="003C02CA" w:rsidRPr="00524BEE" w:rsidRDefault="003C02CA" w:rsidP="003C02CA">
                            <w:pPr>
                              <w:rPr>
                                <w:rFonts w:ascii="Arial" w:hAnsi="Arial" w:cs="Arial"/>
                                <w:color w:val="7030A0"/>
                                <w:sz w:val="21"/>
                                <w:szCs w:val="21"/>
                              </w:rPr>
                            </w:pPr>
                          </w:p>
                          <w:p w14:paraId="1CABE6B1" w14:textId="77777777" w:rsidR="003C02CA" w:rsidRPr="00524BEE" w:rsidRDefault="003C02CA" w:rsidP="003C02CA">
                            <w:pPr>
                              <w:rPr>
                                <w:rFonts w:ascii="Arial" w:hAnsi="Arial" w:cs="Arial"/>
                                <w:sz w:val="21"/>
                                <w:szCs w:val="21"/>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42D95E" id="_x0000_s1029" type="#_x0000_t202" style="position:absolute;margin-left:138.75pt;margin-top:119.2pt;width:692.25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" strokecolor="#92d050" strokeweight="1.5pt">
                <v:textbox>
                  <w:txbxContent>
                    <w:p w14:paraId="3639E95B" w14:textId="77777777" w:rsidR="003C02CA" w:rsidRPr="00600B38" w:rsidRDefault="003C02CA" w:rsidP="003C02CA">
                      <w:pPr>
                        <w:spacing w:after="0"/>
                        <w:rPr>
                          <w:rFonts w:ascii="Arial" w:hAnsi="Arial" w:cs="Arial"/>
                          <w:b/>
                          <w:bCs/>
                          <w:color w:val="92D050"/>
                          <w:sz w:val="21"/>
                          <w:szCs w:val="21"/>
                        </w:rPr>
                      </w:pPr>
                      <w:r w:rsidRPr="00600B38">
                        <w:rPr>
                          <w:rFonts w:ascii="Arial" w:hAnsi="Arial" w:cs="Arial"/>
                          <w:b/>
                          <w:bCs/>
                          <w:color w:val="92D050"/>
                          <w:sz w:val="21"/>
                          <w:szCs w:val="21"/>
                        </w:rPr>
                        <w:t xml:space="preserve">Good homes, green spaces, healthy places </w:t>
                      </w:r>
                    </w:p>
                    <w:p w14:paraId="66BA1C0D" w14:textId="77777777" w:rsidR="003C02CA" w:rsidRPr="00600B38" w:rsidRDefault="003C02CA" w:rsidP="003C02CA">
                      <w:pPr>
                        <w:spacing w:after="0"/>
                        <w:rPr>
                          <w:rFonts w:ascii="Arial" w:hAnsi="Arial" w:cs="Arial"/>
                          <w:sz w:val="21"/>
                          <w:szCs w:val="21"/>
                        </w:rPr>
                      </w:pPr>
                      <w:r w:rsidRPr="00600B38">
                        <w:rPr>
                          <w:rFonts w:ascii="Arial" w:hAnsi="Arial" w:cs="Arial"/>
                          <w:b/>
                          <w:bCs/>
                          <w:sz w:val="21"/>
                          <w:szCs w:val="21"/>
                        </w:rPr>
                        <w:t>£2m</w:t>
                      </w:r>
                      <w:r w:rsidRPr="00600B38">
                        <w:rPr>
                          <w:rFonts w:ascii="Arial" w:hAnsi="Arial" w:cs="Arial"/>
                          <w:sz w:val="21"/>
                          <w:szCs w:val="21"/>
                        </w:rPr>
                        <w:t xml:space="preserve"> to continue to deliver affordable housing units with the completion of Tom Hanson House has provided nine new affordable flats which enables residents from across the borough to have access to affordable, safe and environmentally friendly housing, and will meet the demand of stock which is vitally needed. </w:t>
                      </w:r>
                    </w:p>
                    <w:p w14:paraId="0CD31051" w14:textId="77777777" w:rsidR="003C02CA" w:rsidRPr="00600B38" w:rsidRDefault="003C02CA" w:rsidP="003C02CA">
                      <w:pPr>
                        <w:rPr>
                          <w:rFonts w:ascii="Arial" w:hAnsi="Arial" w:cs="Arial"/>
                          <w:sz w:val="21"/>
                          <w:szCs w:val="21"/>
                        </w:rPr>
                      </w:pPr>
                      <w:r w:rsidRPr="00600B38">
                        <w:rPr>
                          <w:rFonts w:ascii="Arial" w:hAnsi="Arial" w:cs="Arial"/>
                          <w:b/>
                          <w:bCs/>
                          <w:sz w:val="21"/>
                          <w:szCs w:val="21"/>
                        </w:rPr>
                        <w:t>£625k</w:t>
                      </w:r>
                      <w:r w:rsidRPr="00600B38">
                        <w:rPr>
                          <w:rFonts w:ascii="Arial" w:hAnsi="Arial" w:cs="Arial"/>
                          <w:sz w:val="21"/>
                          <w:szCs w:val="21"/>
                        </w:rPr>
                        <w:t xml:space="preserve"> was allocated to fund improvements to play areas and open spaces</w:t>
                      </w:r>
                      <w:r>
                        <w:rPr>
                          <w:rFonts w:ascii="Arial" w:hAnsi="Arial" w:cs="Arial"/>
                          <w:sz w:val="21"/>
                          <w:szCs w:val="21"/>
                        </w:rPr>
                        <w:t xml:space="preserve">, in addition a budget of </w:t>
                      </w:r>
                      <w:r w:rsidRPr="00007D2C">
                        <w:rPr>
                          <w:rFonts w:ascii="Arial" w:hAnsi="Arial" w:cs="Arial"/>
                          <w:b/>
                          <w:bCs/>
                          <w:sz w:val="21"/>
                          <w:szCs w:val="21"/>
                        </w:rPr>
                        <w:t>£2.8m</w:t>
                      </w:r>
                      <w:r>
                        <w:rPr>
                          <w:rFonts w:ascii="Arial" w:hAnsi="Arial" w:cs="Arial"/>
                          <w:sz w:val="21"/>
                          <w:szCs w:val="21"/>
                        </w:rPr>
                        <w:t xml:space="preserve"> has been budgeted to construct </w:t>
                      </w:r>
                      <w:r w:rsidRPr="00600B38">
                        <w:rPr>
                          <w:rFonts w:ascii="Arial" w:hAnsi="Arial" w:cs="Arial"/>
                          <w:sz w:val="21"/>
                          <w:szCs w:val="21"/>
                        </w:rPr>
                        <w:t xml:space="preserve"> new state of the art football pitches </w:t>
                      </w:r>
                      <w:r>
                        <w:rPr>
                          <w:rFonts w:ascii="Arial" w:hAnsi="Arial" w:cs="Arial"/>
                          <w:sz w:val="21"/>
                          <w:szCs w:val="21"/>
                        </w:rPr>
                        <w:t xml:space="preserve">that are already </w:t>
                      </w:r>
                      <w:r w:rsidRPr="00600B38">
                        <w:rPr>
                          <w:rFonts w:ascii="Arial" w:hAnsi="Arial" w:cs="Arial"/>
                          <w:sz w:val="21"/>
                          <w:szCs w:val="21"/>
                        </w:rPr>
                        <w:t>under construction</w:t>
                      </w:r>
                      <w:r>
                        <w:rPr>
                          <w:rFonts w:ascii="Arial" w:hAnsi="Arial" w:cs="Arial"/>
                          <w:sz w:val="21"/>
                          <w:szCs w:val="21"/>
                        </w:rPr>
                        <w:t xml:space="preserve"> and due to be finished in early 2022/23.</w:t>
                      </w:r>
                    </w:p>
                    <w:p w14:paraId="1825B4FE" w14:textId="77777777" w:rsidR="003C02CA" w:rsidRPr="00524BEE" w:rsidRDefault="003C02CA" w:rsidP="003C02CA">
                      <w:pPr>
                        <w:rPr>
                          <w:rFonts w:ascii="Arial" w:hAnsi="Arial" w:cs="Arial"/>
                          <w:sz w:val="21"/>
                          <w:szCs w:val="21"/>
                        </w:rPr>
                      </w:pPr>
                    </w:p>
                    <w:p w14:paraId="799D2546" w14:textId="77777777" w:rsidR="003C02CA" w:rsidRPr="00524BEE" w:rsidRDefault="003C02CA" w:rsidP="003C02CA">
                      <w:pPr>
                        <w:rPr>
                          <w:rFonts w:ascii="Arial" w:hAnsi="Arial" w:cs="Arial"/>
                          <w:color w:val="7030A0"/>
                          <w:sz w:val="21"/>
                          <w:szCs w:val="21"/>
                        </w:rPr>
                      </w:pPr>
                    </w:p>
                    <w:p w14:paraId="1CABE6B1" w14:textId="77777777" w:rsidR="003C02CA" w:rsidRPr="00524BEE" w:rsidRDefault="003C02CA" w:rsidP="003C02CA">
                      <w:pPr>
                        <w:rPr>
                          <w:rFonts w:ascii="Arial" w:hAnsi="Arial" w:cs="Arial"/>
                          <w:sz w:val="21"/>
                          <w:szCs w:val="21"/>
                        </w:rPr>
                      </w:pPr>
                    </w:p>
                  </w:txbxContent>
                </v:textbox>
                <w10:wrap type="tight" anchorx="page"/>
              </v:shape>
            </w:pict>
          </mc:Fallback>
        </mc:AlternateContent>
      </w:r>
      <w:r w:rsidRPr="00524BEE">
        <w:rPr>
          <w:rFonts w:cs="Arial"/>
          <w:b/>
          <w:bCs/>
          <w:noProof/>
          <w:color w:val="31849B" w:themeColor="accent5" w:themeShade="BF"/>
          <w:sz w:val="44"/>
          <w:szCs w:val="44"/>
        </w:rPr>
        <w:drawing>
          <wp:anchor distT="0" distB="0" distL="114300" distR="114300" simplePos="0" relativeHeight="251662336" behindDoc="1" locked="0" layoutInCell="1" allowOverlap="1" wp14:anchorId="5B942AAB" wp14:editId="5E35B85D">
            <wp:simplePos x="0" y="0"/>
            <wp:positionH relativeFrom="margin">
              <wp:align>left</wp:align>
            </wp:positionH>
            <wp:positionV relativeFrom="paragraph">
              <wp:posOffset>1548130</wp:posOffset>
            </wp:positionV>
            <wp:extent cx="768350" cy="609600"/>
            <wp:effectExtent l="0" t="0" r="0" b="0"/>
            <wp:wrapTight wrapText="bothSides">
              <wp:wrapPolygon edited="0">
                <wp:start x="0" y="0"/>
                <wp:lineTo x="0" y="20925"/>
                <wp:lineTo x="20886" y="20925"/>
                <wp:lineTo x="20886" y="0"/>
                <wp:lineTo x="0" y="0"/>
              </wp:wrapPolygon>
            </wp:wrapTight>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8350" cy="609600"/>
                    </a:xfrm>
                    <a:prstGeom prst="rect">
                      <a:avLst/>
                    </a:prstGeom>
                  </pic:spPr>
                </pic:pic>
              </a:graphicData>
            </a:graphic>
            <wp14:sizeRelH relativeFrom="page">
              <wp14:pctWidth>0</wp14:pctWidth>
            </wp14:sizeRelH>
            <wp14:sizeRelV relativeFrom="page">
              <wp14:pctHeight>0</wp14:pctHeight>
            </wp14:sizeRelV>
          </wp:anchor>
        </w:drawing>
      </w:r>
      <w:r w:rsidRPr="00524BEE">
        <w:rPr>
          <w:rFonts w:cs="Arial"/>
          <w:b/>
          <w:bCs/>
          <w:noProof/>
          <w:color w:val="31849B" w:themeColor="accent5" w:themeShade="BF"/>
          <w:sz w:val="44"/>
          <w:szCs w:val="44"/>
        </w:rPr>
        <w:drawing>
          <wp:anchor distT="0" distB="0" distL="114300" distR="114300" simplePos="0" relativeHeight="251663360" behindDoc="1" locked="0" layoutInCell="1" allowOverlap="1" wp14:anchorId="4DEEA43F" wp14:editId="571FE445">
            <wp:simplePos x="0" y="0"/>
            <wp:positionH relativeFrom="margin">
              <wp:align>left</wp:align>
            </wp:positionH>
            <wp:positionV relativeFrom="paragraph">
              <wp:posOffset>2656840</wp:posOffset>
            </wp:positionV>
            <wp:extent cx="735965" cy="593090"/>
            <wp:effectExtent l="0" t="0" r="6985" b="0"/>
            <wp:wrapTight wrapText="bothSides">
              <wp:wrapPolygon edited="0">
                <wp:start x="0" y="0"/>
                <wp:lineTo x="0" y="20814"/>
                <wp:lineTo x="21246" y="20814"/>
                <wp:lineTo x="21246" y="0"/>
                <wp:lineTo x="0" y="0"/>
              </wp:wrapPolygon>
            </wp:wrapTight>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5965" cy="593090"/>
                    </a:xfrm>
                    <a:prstGeom prst="rect">
                      <a:avLst/>
                    </a:prstGeom>
                  </pic:spPr>
                </pic:pic>
              </a:graphicData>
            </a:graphic>
            <wp14:sizeRelH relativeFrom="page">
              <wp14:pctWidth>0</wp14:pctWidth>
            </wp14:sizeRelH>
            <wp14:sizeRelV relativeFrom="page">
              <wp14:pctHeight>0</wp14:pctHeight>
            </wp14:sizeRelV>
          </wp:anchor>
        </w:drawing>
      </w:r>
    </w:p>
    <w:p w14:paraId="30427C0B" w14:textId="77777777" w:rsidR="003C02CA" w:rsidRPr="00524BEE" w:rsidRDefault="003C02CA" w:rsidP="003C02CA">
      <w:pPr>
        <w:rPr>
          <w:rFonts w:cs="Arial"/>
          <w:b/>
          <w:bCs/>
          <w:color w:val="31849B" w:themeColor="accent5" w:themeShade="BF"/>
          <w:sz w:val="44"/>
          <w:szCs w:val="44"/>
        </w:rPr>
      </w:pPr>
      <w:r w:rsidRPr="00524BEE">
        <w:rPr>
          <w:rFonts w:cs="Arial"/>
          <w:b/>
          <w:bCs/>
          <w:noProof/>
          <w:color w:val="31849B" w:themeColor="accent5" w:themeShade="BF"/>
          <w:sz w:val="44"/>
          <w:szCs w:val="44"/>
        </w:rPr>
        <mc:AlternateContent>
          <mc:Choice Requires="wps">
            <w:drawing>
              <wp:anchor distT="45720" distB="45720" distL="114300" distR="114300" simplePos="0" relativeHeight="251667456" behindDoc="1" locked="0" layoutInCell="1" allowOverlap="1" wp14:anchorId="7D850DAB" wp14:editId="746A5AD2">
                <wp:simplePos x="0" y="0"/>
                <wp:positionH relativeFrom="page">
                  <wp:posOffset>1743075</wp:posOffset>
                </wp:positionH>
                <wp:positionV relativeFrom="paragraph">
                  <wp:posOffset>2423160</wp:posOffset>
                </wp:positionV>
                <wp:extent cx="8801100" cy="914400"/>
                <wp:effectExtent l="0" t="0" r="19050" b="19050"/>
                <wp:wrapTight wrapText="bothSides">
                  <wp:wrapPolygon edited="0">
                    <wp:start x="0" y="0"/>
                    <wp:lineTo x="0" y="21600"/>
                    <wp:lineTo x="21600" y="21600"/>
                    <wp:lineTo x="2160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914400"/>
                        </a:xfrm>
                        <a:prstGeom prst="rect">
                          <a:avLst/>
                        </a:prstGeom>
                        <a:solidFill>
                          <a:srgbClr val="FFFFFF"/>
                        </a:solidFill>
                        <a:ln w="19050">
                          <a:solidFill>
                            <a:srgbClr val="0070C0"/>
                          </a:solidFill>
                          <a:miter lim="800000"/>
                          <a:headEnd/>
                          <a:tailEnd/>
                        </a:ln>
                      </wps:spPr>
                      <wps:txbx>
                        <w:txbxContent>
                          <w:p w14:paraId="53B98B87" w14:textId="77777777" w:rsidR="003C02CA" w:rsidRPr="00600B38" w:rsidRDefault="003C02CA" w:rsidP="003C02CA">
                            <w:pPr>
                              <w:spacing w:after="0"/>
                              <w:rPr>
                                <w:rFonts w:ascii="Arial" w:hAnsi="Arial" w:cs="Arial"/>
                                <w:b/>
                                <w:bCs/>
                                <w:color w:val="0070C0"/>
                                <w:sz w:val="21"/>
                                <w:szCs w:val="21"/>
                              </w:rPr>
                            </w:pPr>
                            <w:r w:rsidRPr="00600B38">
                              <w:rPr>
                                <w:rFonts w:ascii="Arial" w:hAnsi="Arial" w:cs="Arial"/>
                                <w:b/>
                                <w:bCs/>
                                <w:color w:val="0070C0"/>
                                <w:sz w:val="21"/>
                                <w:szCs w:val="21"/>
                              </w:rPr>
                              <w:t xml:space="preserve">An exemplary council </w:t>
                            </w:r>
                          </w:p>
                          <w:p w14:paraId="102AA92A" w14:textId="77777777" w:rsidR="003C02CA" w:rsidRPr="00600B38" w:rsidRDefault="003C02CA" w:rsidP="003C02CA">
                            <w:pPr>
                              <w:spacing w:after="0"/>
                              <w:rPr>
                                <w:sz w:val="21"/>
                                <w:szCs w:val="21"/>
                              </w:rPr>
                            </w:pPr>
                            <w:r w:rsidRPr="00600B38">
                              <w:rPr>
                                <w:b/>
                                <w:bCs/>
                                <w:sz w:val="21"/>
                                <w:szCs w:val="21"/>
                              </w:rPr>
                              <w:t>£2.</w:t>
                            </w:r>
                            <w:r>
                              <w:rPr>
                                <w:b/>
                                <w:bCs/>
                                <w:sz w:val="21"/>
                                <w:szCs w:val="21"/>
                              </w:rPr>
                              <w:t>9</w:t>
                            </w:r>
                            <w:r w:rsidRPr="00600B38">
                              <w:rPr>
                                <w:b/>
                                <w:bCs/>
                                <w:sz w:val="21"/>
                                <w:szCs w:val="21"/>
                              </w:rPr>
                              <w:t>m</w:t>
                            </w:r>
                            <w:r w:rsidRPr="00600B38">
                              <w:rPr>
                                <w:sz w:val="21"/>
                                <w:szCs w:val="21"/>
                              </w:rPr>
                              <w:t xml:space="preserve"> to continue to refurbish Worden Hall which will see the hall transformed into a flexible community use space with provisions for small events and wedding.</w:t>
                            </w:r>
                          </w:p>
                          <w:p w14:paraId="4FA8720B" w14:textId="77777777" w:rsidR="003C02CA" w:rsidRPr="00600B38" w:rsidRDefault="003C02CA" w:rsidP="003C02CA">
                            <w:pPr>
                              <w:spacing w:after="0"/>
                              <w:rPr>
                                <w:rFonts w:ascii="Arial" w:hAnsi="Arial" w:cs="Arial"/>
                                <w:sz w:val="21"/>
                                <w:szCs w:val="21"/>
                              </w:rPr>
                            </w:pPr>
                            <w:r w:rsidRPr="00600B38">
                              <w:rPr>
                                <w:b/>
                                <w:bCs/>
                                <w:sz w:val="21"/>
                                <w:szCs w:val="21"/>
                              </w:rPr>
                              <w:t>£20,000</w:t>
                            </w:r>
                            <w:r w:rsidRPr="00600B38">
                              <w:rPr>
                                <w:sz w:val="21"/>
                                <w:szCs w:val="21"/>
                              </w:rPr>
                              <w:t xml:space="preserve"> to improve digital access for less advantaged school child</w:t>
                            </w:r>
                            <w:r>
                              <w:rPr>
                                <w:sz w:val="21"/>
                                <w:szCs w:val="21"/>
                              </w:rPr>
                              <w:t>ren</w:t>
                            </w:r>
                            <w:r w:rsidRPr="00600B38">
                              <w:rPr>
                                <w:sz w:val="21"/>
                                <w:szCs w:val="21"/>
                              </w:rPr>
                              <w:t xml:space="preserve"> by providing 150 tablet devices to 10 schools across South Ribble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50DAB" id="_x0000_s1030" type="#_x0000_t202" style="position:absolute;margin-left:137.25pt;margin-top:190.8pt;width:693pt;height:1in;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" strokecolor="#0070c0" strokeweight="1.5pt">
                <v:textbox>
                  <w:txbxContent>
                    <w:p w14:paraId="53B98B87" w14:textId="77777777" w:rsidR="003C02CA" w:rsidRPr="00600B38" w:rsidRDefault="003C02CA" w:rsidP="003C02CA">
                      <w:pPr>
                        <w:spacing w:after="0"/>
                        <w:rPr>
                          <w:rFonts w:ascii="Arial" w:hAnsi="Arial" w:cs="Arial"/>
                          <w:b/>
                          <w:bCs/>
                          <w:color w:val="0070C0"/>
                          <w:sz w:val="21"/>
                          <w:szCs w:val="21"/>
                        </w:rPr>
                      </w:pPr>
                      <w:r w:rsidRPr="00600B38">
                        <w:rPr>
                          <w:rFonts w:ascii="Arial" w:hAnsi="Arial" w:cs="Arial"/>
                          <w:b/>
                          <w:bCs/>
                          <w:color w:val="0070C0"/>
                          <w:sz w:val="21"/>
                          <w:szCs w:val="21"/>
                        </w:rPr>
                        <w:t xml:space="preserve">An exemplary council </w:t>
                      </w:r>
                    </w:p>
                    <w:p w14:paraId="102AA92A" w14:textId="77777777" w:rsidR="003C02CA" w:rsidRPr="00600B38" w:rsidRDefault="003C02CA" w:rsidP="003C02CA">
                      <w:pPr>
                        <w:spacing w:after="0"/>
                        <w:rPr>
                          <w:sz w:val="21"/>
                          <w:szCs w:val="21"/>
                        </w:rPr>
                      </w:pPr>
                      <w:r w:rsidRPr="00600B38">
                        <w:rPr>
                          <w:b/>
                          <w:bCs/>
                          <w:sz w:val="21"/>
                          <w:szCs w:val="21"/>
                        </w:rPr>
                        <w:t>£2.</w:t>
                      </w:r>
                      <w:r>
                        <w:rPr>
                          <w:b/>
                          <w:bCs/>
                          <w:sz w:val="21"/>
                          <w:szCs w:val="21"/>
                        </w:rPr>
                        <w:t>9</w:t>
                      </w:r>
                      <w:r w:rsidRPr="00600B38">
                        <w:rPr>
                          <w:b/>
                          <w:bCs/>
                          <w:sz w:val="21"/>
                          <w:szCs w:val="21"/>
                        </w:rPr>
                        <w:t>m</w:t>
                      </w:r>
                      <w:r w:rsidRPr="00600B38">
                        <w:rPr>
                          <w:sz w:val="21"/>
                          <w:szCs w:val="21"/>
                        </w:rPr>
                        <w:t xml:space="preserve"> to continue to refurbish Worden Hall which will see the hall transformed into a flexible community use space with provisions for small events and wedding.</w:t>
                      </w:r>
                    </w:p>
                    <w:p w14:paraId="4FA8720B" w14:textId="77777777" w:rsidR="003C02CA" w:rsidRPr="00600B38" w:rsidRDefault="003C02CA" w:rsidP="003C02CA">
                      <w:pPr>
                        <w:spacing w:after="0"/>
                        <w:rPr>
                          <w:rFonts w:ascii="Arial" w:hAnsi="Arial" w:cs="Arial"/>
                          <w:sz w:val="21"/>
                          <w:szCs w:val="21"/>
                        </w:rPr>
                      </w:pPr>
                      <w:r w:rsidRPr="00600B38">
                        <w:rPr>
                          <w:b/>
                          <w:bCs/>
                          <w:sz w:val="21"/>
                          <w:szCs w:val="21"/>
                        </w:rPr>
                        <w:t>£20,000</w:t>
                      </w:r>
                      <w:r w:rsidRPr="00600B38">
                        <w:rPr>
                          <w:sz w:val="21"/>
                          <w:szCs w:val="21"/>
                        </w:rPr>
                        <w:t xml:space="preserve"> to improve digital access for less advantaged school child</w:t>
                      </w:r>
                      <w:r>
                        <w:rPr>
                          <w:sz w:val="21"/>
                          <w:szCs w:val="21"/>
                        </w:rPr>
                        <w:t>ren</w:t>
                      </w:r>
                      <w:r w:rsidRPr="00600B38">
                        <w:rPr>
                          <w:sz w:val="21"/>
                          <w:szCs w:val="21"/>
                        </w:rPr>
                        <w:t xml:space="preserve"> by providing 150 tablet devices to 10 schools across South Ribble</w:t>
                      </w:r>
                    </w:p>
                  </w:txbxContent>
                </v:textbox>
                <w10:wrap type="tight" anchorx="page"/>
              </v:shape>
            </w:pict>
          </mc:Fallback>
        </mc:AlternateContent>
      </w:r>
      <w:r w:rsidRPr="00524BEE">
        <w:rPr>
          <w:rFonts w:cs="Arial"/>
          <w:b/>
          <w:bCs/>
          <w:noProof/>
          <w:color w:val="31849B" w:themeColor="accent5" w:themeShade="BF"/>
          <w:sz w:val="44"/>
          <w:szCs w:val="44"/>
        </w:rPr>
        <w:drawing>
          <wp:anchor distT="0" distB="0" distL="114300" distR="114300" simplePos="0" relativeHeight="251664384" behindDoc="1" locked="0" layoutInCell="1" allowOverlap="1" wp14:anchorId="2F2B1450" wp14:editId="22B71BCE">
            <wp:simplePos x="0" y="0"/>
            <wp:positionH relativeFrom="margin">
              <wp:posOffset>53340</wp:posOffset>
            </wp:positionH>
            <wp:positionV relativeFrom="paragraph">
              <wp:posOffset>2275205</wp:posOffset>
            </wp:positionV>
            <wp:extent cx="715010" cy="701675"/>
            <wp:effectExtent l="0" t="0" r="8890" b="3175"/>
            <wp:wrapTight wrapText="bothSides">
              <wp:wrapPolygon edited="0">
                <wp:start x="0" y="0"/>
                <wp:lineTo x="0" y="21111"/>
                <wp:lineTo x="21293" y="21111"/>
                <wp:lineTo x="21293"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15010" cy="701675"/>
                    </a:xfrm>
                    <a:prstGeom prst="rect">
                      <a:avLst/>
                    </a:prstGeom>
                  </pic:spPr>
                </pic:pic>
              </a:graphicData>
            </a:graphic>
            <wp14:sizeRelH relativeFrom="page">
              <wp14:pctWidth>0</wp14:pctWidth>
            </wp14:sizeRelH>
            <wp14:sizeRelV relativeFrom="page">
              <wp14:pctHeight>0</wp14:pctHeight>
            </wp14:sizeRelV>
          </wp:anchor>
        </w:drawing>
      </w:r>
    </w:p>
    <w:p w14:paraId="019D8C70" w14:textId="77777777" w:rsidR="003C02CA" w:rsidRPr="00524BEE" w:rsidRDefault="003C02CA" w:rsidP="003C02CA">
      <w:pPr>
        <w:rPr>
          <w:rFonts w:cs="Arial"/>
          <w:b/>
          <w:bCs/>
          <w:color w:val="31849B" w:themeColor="accent5" w:themeShade="BF"/>
          <w:sz w:val="44"/>
          <w:szCs w:val="44"/>
        </w:rPr>
        <w:sectPr w:rsidR="003C02CA" w:rsidRPr="00524BEE" w:rsidSect="00184219">
          <w:headerReference w:type="default" r:id="rId14"/>
          <w:footerReference w:type="default" r:id="rId15"/>
          <w:pgSz w:w="16838" w:h="11906" w:orient="landscape"/>
          <w:pgMar w:top="1134" w:right="1440" w:bottom="1134" w:left="1440" w:header="709" w:footer="709" w:gutter="0"/>
          <w:cols w:space="708"/>
          <w:docGrid w:linePitch="360"/>
        </w:sectPr>
      </w:pPr>
    </w:p>
    <w:p w14:paraId="14216162" w14:textId="77777777" w:rsidR="003C02CA" w:rsidRPr="00990B49" w:rsidRDefault="003C02CA" w:rsidP="003C02CA">
      <w:pPr>
        <w:spacing w:after="0"/>
        <w:rPr>
          <w:rFonts w:cs="Arial"/>
          <w:b/>
          <w:bCs/>
          <w:color w:val="31849B" w:themeColor="accent5" w:themeShade="BF"/>
          <w:sz w:val="44"/>
          <w:szCs w:val="44"/>
          <w:lang w:val="en-US"/>
        </w:rPr>
      </w:pPr>
      <w:r w:rsidRPr="00524BEE">
        <w:rPr>
          <w:rFonts w:cs="Arial"/>
        </w:rPr>
        <w:lastRenderedPageBreak/>
        <w:t xml:space="preserve"> </w:t>
      </w:r>
      <w:r w:rsidRPr="00990B49">
        <w:rPr>
          <w:rFonts w:cs="Arial"/>
          <w:b/>
          <w:bCs/>
          <w:color w:val="31849B" w:themeColor="accent5" w:themeShade="BF"/>
          <w:sz w:val="44"/>
          <w:szCs w:val="44"/>
          <w:lang w:val="en-US"/>
        </w:rPr>
        <w:t xml:space="preserve">Looking </w:t>
      </w:r>
      <w:r>
        <w:rPr>
          <w:rFonts w:cs="Arial"/>
          <w:b/>
          <w:bCs/>
          <w:color w:val="31849B" w:themeColor="accent5" w:themeShade="BF"/>
          <w:sz w:val="44"/>
          <w:szCs w:val="44"/>
          <w:lang w:val="en-US"/>
        </w:rPr>
        <w:t>a</w:t>
      </w:r>
      <w:r w:rsidRPr="00990B49">
        <w:rPr>
          <w:rFonts w:cs="Arial"/>
          <w:b/>
          <w:bCs/>
          <w:color w:val="31849B" w:themeColor="accent5" w:themeShade="BF"/>
          <w:sz w:val="44"/>
          <w:szCs w:val="44"/>
          <w:lang w:val="en-US"/>
        </w:rPr>
        <w:t>head</w:t>
      </w:r>
      <w:r>
        <w:rPr>
          <w:rFonts w:cs="Arial"/>
          <w:b/>
          <w:bCs/>
          <w:color w:val="31849B" w:themeColor="accent5" w:themeShade="BF"/>
          <w:sz w:val="44"/>
          <w:szCs w:val="44"/>
          <w:lang w:val="en-US"/>
        </w:rPr>
        <w:t xml:space="preserve"> – investment priorities for 2022/23 </w:t>
      </w:r>
    </w:p>
    <w:p w14:paraId="5FA1A506" w14:textId="77777777" w:rsidR="003C02CA" w:rsidRPr="00B25775" w:rsidRDefault="003C02CA" w:rsidP="003C02CA">
      <w:pPr>
        <w:contextualSpacing/>
        <w:rPr>
          <w:rFonts w:cs="Arial"/>
          <w:lang w:val="en-US"/>
        </w:rPr>
      </w:pPr>
      <w:r w:rsidRPr="00B25775">
        <w:rPr>
          <w:rFonts w:cs="Arial"/>
          <w:lang w:val="en-US"/>
        </w:rPr>
        <w:t xml:space="preserve">In 2022/23 we will see further investment in key </w:t>
      </w:r>
      <w:proofErr w:type="spellStart"/>
      <w:r w:rsidRPr="00B25775">
        <w:rPr>
          <w:rFonts w:cs="Arial"/>
          <w:lang w:val="en-US"/>
        </w:rPr>
        <w:t>programmes</w:t>
      </w:r>
      <w:proofErr w:type="spellEnd"/>
      <w:r w:rsidRPr="00B25775">
        <w:rPr>
          <w:rFonts w:cs="Arial"/>
          <w:lang w:val="en-US"/>
        </w:rPr>
        <w:t xml:space="preserve"> all of which aim to support our communities to thrive; to drive forward innovations that allow us to continue being an exemplary council; to develop a fair local economy that works for everyone across the borough; and to deliver good homes and greener spaces for residents. </w:t>
      </w:r>
    </w:p>
    <w:p w14:paraId="5744B3E7" w14:textId="77777777" w:rsidR="003C02CA" w:rsidRPr="00FD3F78" w:rsidRDefault="003C02CA" w:rsidP="003C02CA">
      <w:pPr>
        <w:pStyle w:val="NoSpacing"/>
        <w:numPr>
          <w:ilvl w:val="0"/>
          <w:numId w:val="21"/>
        </w:numPr>
        <w:spacing w:after="240"/>
        <w:rPr>
          <w:sz w:val="21"/>
          <w:szCs w:val="21"/>
        </w:rPr>
      </w:pPr>
      <w:bookmarkStart w:id="1" w:name="_Hlk94259455"/>
      <w:r w:rsidRPr="00FD3F78">
        <w:rPr>
          <w:sz w:val="21"/>
          <w:szCs w:val="21"/>
        </w:rPr>
        <w:t xml:space="preserve">We will invest </w:t>
      </w:r>
      <w:r w:rsidRPr="00FD3F78">
        <w:rPr>
          <w:b/>
          <w:bCs/>
          <w:sz w:val="21"/>
          <w:szCs w:val="21"/>
        </w:rPr>
        <w:t>£1.565m</w:t>
      </w:r>
      <w:r w:rsidRPr="00FD3F78">
        <w:rPr>
          <w:sz w:val="21"/>
          <w:szCs w:val="21"/>
        </w:rPr>
        <w:t xml:space="preserve"> to improve parks, play areas and open spaces, including improvements to Hurst Grange, Birch Avenue - Penwortham, Moss Side Village Green, </w:t>
      </w:r>
      <w:proofErr w:type="spellStart"/>
      <w:r w:rsidRPr="00FD3F78">
        <w:rPr>
          <w:sz w:val="21"/>
          <w:szCs w:val="21"/>
        </w:rPr>
        <w:t>Farington</w:t>
      </w:r>
      <w:proofErr w:type="spellEnd"/>
      <w:r w:rsidRPr="00FD3F78">
        <w:rPr>
          <w:sz w:val="21"/>
          <w:szCs w:val="21"/>
        </w:rPr>
        <w:t xml:space="preserve"> Lodges, Strawberry Valley Park - Bent Lane, Withy Grove and Gregson Lane, </w:t>
      </w:r>
      <w:proofErr w:type="spellStart"/>
      <w:r w:rsidRPr="00FD3F78">
        <w:rPr>
          <w:sz w:val="21"/>
          <w:szCs w:val="21"/>
        </w:rPr>
        <w:t>Ryden</w:t>
      </w:r>
      <w:proofErr w:type="spellEnd"/>
      <w:r w:rsidRPr="00FD3F78">
        <w:rPr>
          <w:sz w:val="21"/>
          <w:szCs w:val="21"/>
        </w:rPr>
        <w:t xml:space="preserve"> Avenue and Hutton in 2022/23 and Longton, New Longton and King George </w:t>
      </w:r>
      <w:proofErr w:type="spellStart"/>
      <w:r w:rsidRPr="00FD3F78">
        <w:rPr>
          <w:sz w:val="21"/>
          <w:szCs w:val="21"/>
        </w:rPr>
        <w:t>Vand</w:t>
      </w:r>
      <w:proofErr w:type="spellEnd"/>
      <w:r w:rsidRPr="00FD3F78">
        <w:rPr>
          <w:sz w:val="21"/>
          <w:szCs w:val="21"/>
        </w:rPr>
        <w:t xml:space="preserve"> Margaret Road in Penwortham in 2023/24. We will also invest </w:t>
      </w:r>
      <w:r w:rsidRPr="00FD3F78">
        <w:rPr>
          <w:b/>
          <w:bCs/>
          <w:sz w:val="21"/>
          <w:szCs w:val="21"/>
        </w:rPr>
        <w:t>£200k</w:t>
      </w:r>
      <w:r w:rsidRPr="00FD3F78">
        <w:rPr>
          <w:sz w:val="21"/>
          <w:szCs w:val="21"/>
        </w:rPr>
        <w:t xml:space="preserve"> for improvements to smaller open space and play areas.</w:t>
      </w:r>
    </w:p>
    <w:p w14:paraId="01B6897A" w14:textId="77777777" w:rsidR="003C02CA" w:rsidRPr="00FD3F78" w:rsidRDefault="003C02CA" w:rsidP="003C02CA">
      <w:pPr>
        <w:pStyle w:val="NoSpacing"/>
        <w:numPr>
          <w:ilvl w:val="0"/>
          <w:numId w:val="21"/>
        </w:numPr>
        <w:spacing w:after="240"/>
        <w:rPr>
          <w:sz w:val="21"/>
          <w:szCs w:val="21"/>
        </w:rPr>
      </w:pPr>
      <w:r w:rsidRPr="00FD3F78">
        <w:rPr>
          <w:sz w:val="21"/>
          <w:szCs w:val="21"/>
        </w:rPr>
        <w:t xml:space="preserve">We will invest </w:t>
      </w:r>
      <w:r w:rsidRPr="00FD3F78">
        <w:rPr>
          <w:b/>
          <w:bCs/>
          <w:sz w:val="21"/>
          <w:szCs w:val="21"/>
        </w:rPr>
        <w:t>£1.600m</w:t>
      </w:r>
      <w:r w:rsidRPr="00FD3F78">
        <w:rPr>
          <w:sz w:val="21"/>
          <w:szCs w:val="21"/>
        </w:rPr>
        <w:t xml:space="preserve"> to improve our leisure </w:t>
      </w:r>
      <w:proofErr w:type="spellStart"/>
      <w:r w:rsidRPr="00FD3F78">
        <w:rPr>
          <w:sz w:val="21"/>
          <w:szCs w:val="21"/>
        </w:rPr>
        <w:t>centre</w:t>
      </w:r>
      <w:proofErr w:type="spellEnd"/>
      <w:r w:rsidRPr="00FD3F78">
        <w:rPr>
          <w:sz w:val="21"/>
          <w:szCs w:val="21"/>
        </w:rPr>
        <w:t xml:space="preserve"> facilities </w:t>
      </w:r>
      <w:bookmarkEnd w:id="1"/>
    </w:p>
    <w:p w14:paraId="52C4B7A7" w14:textId="77777777" w:rsidR="003C02CA" w:rsidRPr="00FD3F78" w:rsidRDefault="003C02CA" w:rsidP="003C02CA">
      <w:pPr>
        <w:pStyle w:val="ListParagraph"/>
        <w:numPr>
          <w:ilvl w:val="0"/>
          <w:numId w:val="21"/>
        </w:numPr>
        <w:rPr>
          <w:sz w:val="21"/>
          <w:szCs w:val="21"/>
        </w:rPr>
      </w:pPr>
      <w:r w:rsidRPr="00FD3F78">
        <w:rPr>
          <w:b/>
          <w:bCs/>
          <w:sz w:val="21"/>
          <w:szCs w:val="21"/>
        </w:rPr>
        <w:t>£3.100m</w:t>
      </w:r>
      <w:r w:rsidRPr="00FD3F78">
        <w:rPr>
          <w:sz w:val="21"/>
          <w:szCs w:val="21"/>
        </w:rPr>
        <w:t xml:space="preserve"> to continue to support the development of affordable homes including 15 new affordable homes on the McKenzie Arms site in Bamber Bridge; this means residents from across the borough can have access to affordable, safe and environmentally friendly housing, and will meet the demand of stock which is vitally needed. </w:t>
      </w:r>
    </w:p>
    <w:p w14:paraId="5FC6738F" w14:textId="77777777" w:rsidR="003C02CA" w:rsidRPr="00FD3F78" w:rsidRDefault="003C02CA" w:rsidP="003C02CA">
      <w:pPr>
        <w:pStyle w:val="NoSpacing"/>
        <w:numPr>
          <w:ilvl w:val="0"/>
          <w:numId w:val="21"/>
        </w:numPr>
        <w:rPr>
          <w:sz w:val="21"/>
          <w:szCs w:val="21"/>
        </w:rPr>
      </w:pPr>
      <w:r w:rsidRPr="00FD3F78">
        <w:rPr>
          <w:sz w:val="21"/>
          <w:szCs w:val="21"/>
        </w:rPr>
        <w:t xml:space="preserve">To support the recovery of the local economy following the pandemic, we will invest </w:t>
      </w:r>
      <w:r w:rsidRPr="00FD3F78">
        <w:rPr>
          <w:b/>
          <w:bCs/>
          <w:sz w:val="21"/>
          <w:szCs w:val="21"/>
        </w:rPr>
        <w:t xml:space="preserve">£200k </w:t>
      </w:r>
      <w:r w:rsidRPr="00FD3F78">
        <w:rPr>
          <w:sz w:val="21"/>
          <w:szCs w:val="21"/>
        </w:rPr>
        <w:t xml:space="preserve">on business support, </w:t>
      </w:r>
      <w:proofErr w:type="gramStart"/>
      <w:r w:rsidRPr="00FD3F78">
        <w:rPr>
          <w:sz w:val="21"/>
          <w:szCs w:val="21"/>
        </w:rPr>
        <w:t>advice</w:t>
      </w:r>
      <w:proofErr w:type="gramEnd"/>
      <w:r w:rsidRPr="00FD3F78">
        <w:rPr>
          <w:sz w:val="21"/>
          <w:szCs w:val="21"/>
        </w:rPr>
        <w:t xml:space="preserve"> and grants for local businesses to get back on their feet. </w:t>
      </w:r>
    </w:p>
    <w:p w14:paraId="5B4C2963" w14:textId="77777777" w:rsidR="003C02CA" w:rsidRPr="00FD3F78" w:rsidRDefault="003C02CA" w:rsidP="003C02CA">
      <w:pPr>
        <w:pStyle w:val="NoSpacing"/>
        <w:rPr>
          <w:sz w:val="21"/>
          <w:szCs w:val="21"/>
        </w:rPr>
      </w:pPr>
    </w:p>
    <w:p w14:paraId="13DC9F26" w14:textId="77777777" w:rsidR="003C02CA" w:rsidRPr="00FD3F78" w:rsidRDefault="003C02CA" w:rsidP="003C02CA">
      <w:pPr>
        <w:pStyle w:val="NoSpacing"/>
        <w:numPr>
          <w:ilvl w:val="0"/>
          <w:numId w:val="21"/>
        </w:numPr>
        <w:rPr>
          <w:sz w:val="21"/>
          <w:szCs w:val="21"/>
        </w:rPr>
      </w:pPr>
      <w:r w:rsidRPr="00FD3F78">
        <w:rPr>
          <w:b/>
          <w:bCs/>
          <w:sz w:val="21"/>
          <w:szCs w:val="21"/>
        </w:rPr>
        <w:t>£30k</w:t>
      </w:r>
      <w:r w:rsidRPr="00FD3F78">
        <w:rPr>
          <w:sz w:val="21"/>
          <w:szCs w:val="21"/>
        </w:rPr>
        <w:t xml:space="preserve"> to support communities and residents to </w:t>
      </w:r>
      <w:proofErr w:type="spellStart"/>
      <w:r w:rsidRPr="00FD3F78">
        <w:rPr>
          <w:sz w:val="21"/>
          <w:szCs w:val="21"/>
        </w:rPr>
        <w:t>organise</w:t>
      </w:r>
      <w:proofErr w:type="spellEnd"/>
      <w:r w:rsidRPr="00FD3F78">
        <w:rPr>
          <w:sz w:val="21"/>
          <w:szCs w:val="21"/>
        </w:rPr>
        <w:t xml:space="preserve"> events to celebrate the Queen’s Jubilee.  </w:t>
      </w:r>
    </w:p>
    <w:p w14:paraId="11D222AA" w14:textId="77777777" w:rsidR="003C02CA" w:rsidRPr="00FD3F78" w:rsidRDefault="003C02CA" w:rsidP="003C02CA">
      <w:pPr>
        <w:pStyle w:val="NoSpacing"/>
        <w:rPr>
          <w:sz w:val="21"/>
          <w:szCs w:val="21"/>
        </w:rPr>
      </w:pPr>
    </w:p>
    <w:p w14:paraId="45888D87" w14:textId="77777777" w:rsidR="003C02CA" w:rsidRPr="00FD3F78" w:rsidRDefault="003C02CA" w:rsidP="003C02CA">
      <w:pPr>
        <w:pStyle w:val="NoSpacing"/>
        <w:numPr>
          <w:ilvl w:val="0"/>
          <w:numId w:val="21"/>
        </w:numPr>
        <w:rPr>
          <w:sz w:val="21"/>
          <w:szCs w:val="21"/>
        </w:rPr>
      </w:pPr>
      <w:r w:rsidRPr="00FD3F78">
        <w:rPr>
          <w:b/>
          <w:bCs/>
          <w:sz w:val="21"/>
          <w:szCs w:val="21"/>
        </w:rPr>
        <w:t xml:space="preserve">£200k </w:t>
      </w:r>
      <w:r w:rsidRPr="00FD3F78">
        <w:rPr>
          <w:sz w:val="21"/>
          <w:szCs w:val="21"/>
        </w:rPr>
        <w:t xml:space="preserve">on targeting fly-tipping and environmental improvements across the borough to enable clean and safe local areas for residents. </w:t>
      </w:r>
    </w:p>
    <w:p w14:paraId="22AA4F9C" w14:textId="77777777" w:rsidR="003C02CA" w:rsidRPr="00FD3F78" w:rsidRDefault="003C02CA" w:rsidP="003C02CA">
      <w:pPr>
        <w:pStyle w:val="NoSpacing"/>
        <w:rPr>
          <w:sz w:val="21"/>
          <w:szCs w:val="21"/>
        </w:rPr>
      </w:pPr>
    </w:p>
    <w:p w14:paraId="7ABCC5CC" w14:textId="77777777" w:rsidR="003C02CA" w:rsidRPr="00FD3F78" w:rsidRDefault="003C02CA" w:rsidP="003C02CA">
      <w:pPr>
        <w:pStyle w:val="NoSpacing"/>
        <w:numPr>
          <w:ilvl w:val="0"/>
          <w:numId w:val="21"/>
        </w:numPr>
        <w:rPr>
          <w:sz w:val="21"/>
          <w:szCs w:val="21"/>
        </w:rPr>
      </w:pPr>
      <w:r w:rsidRPr="00FD3F78">
        <w:rPr>
          <w:b/>
          <w:bCs/>
          <w:sz w:val="21"/>
          <w:szCs w:val="21"/>
        </w:rPr>
        <w:t>£250k</w:t>
      </w:r>
      <w:r w:rsidRPr="00FD3F78">
        <w:rPr>
          <w:sz w:val="21"/>
          <w:szCs w:val="21"/>
        </w:rPr>
        <w:t xml:space="preserve"> to create a community support fund, working alongside our existing the Boost Fund and the community hubs to improve the lives of our residents and provide support for individuals, groups and </w:t>
      </w:r>
      <w:proofErr w:type="spellStart"/>
      <w:r w:rsidRPr="00FD3F78">
        <w:rPr>
          <w:sz w:val="21"/>
          <w:szCs w:val="21"/>
        </w:rPr>
        <w:t>organisations</w:t>
      </w:r>
      <w:proofErr w:type="spellEnd"/>
    </w:p>
    <w:p w14:paraId="36FD10CE" w14:textId="77777777" w:rsidR="003C02CA" w:rsidRPr="00FD3F78" w:rsidRDefault="003C02CA" w:rsidP="003C02CA">
      <w:pPr>
        <w:pStyle w:val="NoSpacing"/>
        <w:rPr>
          <w:sz w:val="21"/>
          <w:szCs w:val="21"/>
        </w:rPr>
      </w:pPr>
    </w:p>
    <w:p w14:paraId="257A85AE" w14:textId="77777777" w:rsidR="003C02CA" w:rsidRPr="00FD3F78" w:rsidRDefault="003C02CA" w:rsidP="003C02CA">
      <w:pPr>
        <w:pStyle w:val="NoSpacing"/>
        <w:numPr>
          <w:ilvl w:val="0"/>
          <w:numId w:val="21"/>
        </w:numPr>
        <w:rPr>
          <w:rFonts w:eastAsia="Times New Roman"/>
          <w:sz w:val="21"/>
          <w:szCs w:val="21"/>
        </w:rPr>
      </w:pPr>
      <w:r w:rsidRPr="00FD3F78">
        <w:rPr>
          <w:rFonts w:eastAsia="Times New Roman"/>
          <w:sz w:val="21"/>
          <w:szCs w:val="21"/>
        </w:rPr>
        <w:t xml:space="preserve">Our sports clubs and community </w:t>
      </w:r>
      <w:proofErr w:type="spellStart"/>
      <w:r w:rsidRPr="00FD3F78">
        <w:rPr>
          <w:rFonts w:eastAsia="Times New Roman"/>
          <w:sz w:val="21"/>
          <w:szCs w:val="21"/>
        </w:rPr>
        <w:t>organisations</w:t>
      </w:r>
      <w:proofErr w:type="spellEnd"/>
      <w:r w:rsidRPr="00FD3F78">
        <w:rPr>
          <w:rFonts w:eastAsia="Times New Roman"/>
          <w:sz w:val="21"/>
          <w:szCs w:val="21"/>
        </w:rPr>
        <w:t xml:space="preserve"> have been badly hit through loss of income and membership during pandemic. They provide the </w:t>
      </w:r>
      <w:proofErr w:type="gramStart"/>
      <w:r w:rsidRPr="00FD3F78">
        <w:rPr>
          <w:rFonts w:eastAsia="Times New Roman"/>
          <w:sz w:val="21"/>
          <w:szCs w:val="21"/>
        </w:rPr>
        <w:t>life-blood</w:t>
      </w:r>
      <w:proofErr w:type="gramEnd"/>
      <w:r w:rsidRPr="00FD3F78">
        <w:rPr>
          <w:rFonts w:eastAsia="Times New Roman"/>
          <w:sz w:val="21"/>
          <w:szCs w:val="21"/>
        </w:rPr>
        <w:t xml:space="preserve"> of the borough and so we will create a</w:t>
      </w:r>
      <w:r w:rsidRPr="00FD3F78">
        <w:rPr>
          <w:rFonts w:eastAsia="Times New Roman"/>
          <w:b/>
          <w:bCs/>
          <w:sz w:val="21"/>
          <w:szCs w:val="21"/>
        </w:rPr>
        <w:t xml:space="preserve"> £250k </w:t>
      </w:r>
      <w:r w:rsidRPr="00FD3F78">
        <w:rPr>
          <w:rFonts w:eastAsia="Times New Roman"/>
          <w:sz w:val="21"/>
          <w:szCs w:val="21"/>
        </w:rPr>
        <w:t>fund for groups to continue and grow.</w:t>
      </w:r>
    </w:p>
    <w:p w14:paraId="68672BB1" w14:textId="77777777" w:rsidR="003C02CA" w:rsidRPr="00FD3F78" w:rsidRDefault="003C02CA" w:rsidP="003C02CA">
      <w:pPr>
        <w:pStyle w:val="NoSpacing"/>
        <w:rPr>
          <w:sz w:val="21"/>
          <w:szCs w:val="21"/>
        </w:rPr>
      </w:pPr>
    </w:p>
    <w:p w14:paraId="59040A14" w14:textId="77777777" w:rsidR="003C02CA" w:rsidRPr="00FD3F78" w:rsidRDefault="003C02CA" w:rsidP="003C02CA">
      <w:pPr>
        <w:pStyle w:val="NoSpacing"/>
        <w:numPr>
          <w:ilvl w:val="0"/>
          <w:numId w:val="21"/>
        </w:numPr>
        <w:spacing w:after="240"/>
        <w:rPr>
          <w:sz w:val="21"/>
          <w:szCs w:val="21"/>
        </w:rPr>
      </w:pPr>
      <w:r w:rsidRPr="00FD3F78">
        <w:rPr>
          <w:sz w:val="21"/>
          <w:szCs w:val="21"/>
        </w:rPr>
        <w:t xml:space="preserve">To support people into high quality employment, build resilience and improve quality in our service provision as we recover from the pandemic we will invest </w:t>
      </w:r>
      <w:r w:rsidRPr="00FD3F78">
        <w:rPr>
          <w:b/>
          <w:bCs/>
          <w:sz w:val="21"/>
          <w:szCs w:val="21"/>
        </w:rPr>
        <w:t>£200k</w:t>
      </w:r>
      <w:r w:rsidRPr="00FD3F78">
        <w:rPr>
          <w:sz w:val="21"/>
          <w:szCs w:val="21"/>
        </w:rPr>
        <w:t xml:space="preserve"> in creating more apprenticeships, graduates and training posts across the council in areas of high demand.</w:t>
      </w:r>
    </w:p>
    <w:p w14:paraId="0B0386DF" w14:textId="77777777" w:rsidR="003C02CA" w:rsidRPr="00FD3F78" w:rsidRDefault="003C02CA" w:rsidP="003C02CA">
      <w:pPr>
        <w:pStyle w:val="NoSpacing"/>
        <w:numPr>
          <w:ilvl w:val="0"/>
          <w:numId w:val="21"/>
        </w:numPr>
        <w:rPr>
          <w:sz w:val="21"/>
          <w:szCs w:val="21"/>
        </w:rPr>
        <w:sectPr w:rsidR="003C02CA" w:rsidRPr="00FD3F78" w:rsidSect="00414BA1">
          <w:pgSz w:w="16838" w:h="11906" w:orient="landscape"/>
          <w:pgMar w:top="1440" w:right="1440" w:bottom="1440" w:left="1440" w:header="708" w:footer="708" w:gutter="0"/>
          <w:cols w:space="708"/>
          <w:docGrid w:linePitch="360"/>
        </w:sectPr>
      </w:pPr>
      <w:r>
        <w:rPr>
          <w:bCs/>
          <w:iCs/>
          <w:sz w:val="21"/>
          <w:szCs w:val="21"/>
        </w:rPr>
        <w:t xml:space="preserve">Following our successful bid, we will </w:t>
      </w:r>
      <w:proofErr w:type="spellStart"/>
      <w:r>
        <w:rPr>
          <w:bCs/>
          <w:iCs/>
          <w:sz w:val="21"/>
          <w:szCs w:val="21"/>
        </w:rPr>
        <w:t>utilise</w:t>
      </w:r>
      <w:proofErr w:type="spellEnd"/>
      <w:r>
        <w:rPr>
          <w:bCs/>
          <w:iCs/>
          <w:sz w:val="21"/>
          <w:szCs w:val="21"/>
        </w:rPr>
        <w:t xml:space="preserve"> </w:t>
      </w:r>
      <w:r w:rsidRPr="00FD3F78">
        <w:rPr>
          <w:bCs/>
          <w:iCs/>
          <w:sz w:val="21"/>
          <w:szCs w:val="21"/>
        </w:rPr>
        <w:t xml:space="preserve">£5m </w:t>
      </w:r>
      <w:r>
        <w:rPr>
          <w:bCs/>
          <w:iCs/>
          <w:sz w:val="21"/>
          <w:szCs w:val="21"/>
        </w:rPr>
        <w:t xml:space="preserve">in grant from government </w:t>
      </w:r>
      <w:r w:rsidRPr="00FD3F78">
        <w:rPr>
          <w:bCs/>
          <w:iCs/>
          <w:sz w:val="21"/>
          <w:szCs w:val="21"/>
        </w:rPr>
        <w:t xml:space="preserve">to </w:t>
      </w:r>
      <w:proofErr w:type="spellStart"/>
      <w:r w:rsidRPr="00FD3F78">
        <w:rPr>
          <w:b/>
          <w:iCs/>
          <w:sz w:val="21"/>
          <w:szCs w:val="21"/>
        </w:rPr>
        <w:t>decarbonise</w:t>
      </w:r>
      <w:proofErr w:type="spellEnd"/>
      <w:r w:rsidRPr="00FD3F78">
        <w:rPr>
          <w:b/>
          <w:iCs/>
          <w:sz w:val="21"/>
          <w:szCs w:val="21"/>
        </w:rPr>
        <w:t xml:space="preserve"> </w:t>
      </w:r>
      <w:r>
        <w:rPr>
          <w:b/>
          <w:iCs/>
          <w:sz w:val="21"/>
          <w:szCs w:val="21"/>
        </w:rPr>
        <w:t>our</w:t>
      </w:r>
      <w:r w:rsidRPr="00FD3F78">
        <w:rPr>
          <w:b/>
          <w:iCs/>
          <w:sz w:val="21"/>
          <w:szCs w:val="21"/>
        </w:rPr>
        <w:t xml:space="preserve"> assets</w:t>
      </w:r>
      <w:r w:rsidRPr="00FD3F78">
        <w:rPr>
          <w:bCs/>
          <w:iCs/>
          <w:sz w:val="21"/>
          <w:szCs w:val="21"/>
        </w:rPr>
        <w:t xml:space="preserve">; this grant will enable the council to significantly reduce its use of fossil fuels to power its leisure </w:t>
      </w:r>
      <w:proofErr w:type="spellStart"/>
      <w:r w:rsidRPr="00FD3F78">
        <w:rPr>
          <w:bCs/>
          <w:iCs/>
          <w:sz w:val="21"/>
          <w:szCs w:val="21"/>
        </w:rPr>
        <w:t>centres</w:t>
      </w:r>
      <w:proofErr w:type="spellEnd"/>
      <w:r w:rsidRPr="00FD3F78">
        <w:rPr>
          <w:bCs/>
          <w:iCs/>
          <w:sz w:val="21"/>
          <w:szCs w:val="21"/>
        </w:rPr>
        <w:t>, vehicle depot and office buildings.</w:t>
      </w:r>
    </w:p>
    <w:p w14:paraId="2159D82E" w14:textId="77777777" w:rsidR="003C02CA"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pPr>
      <w:r>
        <w:rPr>
          <w:rFonts w:ascii="Arial" w:hAnsi="Arial" w:cs="Arial"/>
          <w:color w:val="FFFFFF" w:themeColor="background1"/>
          <w:sz w:val="24"/>
          <w:szCs w:val="24"/>
        </w:rPr>
        <w:lastRenderedPageBreak/>
        <w:t>Medium Term Financial Planning and Transformation Strategy</w:t>
      </w:r>
    </w:p>
    <w:p w14:paraId="0EC714E9" w14:textId="77777777" w:rsidR="003C02CA" w:rsidRDefault="003C02CA" w:rsidP="003C02CA">
      <w:pPr>
        <w:pStyle w:val="ListParagraph"/>
        <w:numPr>
          <w:ilvl w:val="0"/>
          <w:numId w:val="11"/>
        </w:numPr>
        <w:tabs>
          <w:tab w:val="left" w:pos="567"/>
        </w:tabs>
        <w:spacing w:after="0" w:line="240" w:lineRule="auto"/>
        <w:jc w:val="both"/>
        <w:rPr>
          <w:rFonts w:ascii="Arial" w:hAnsi="Arial" w:cs="Arial"/>
        </w:rPr>
      </w:pPr>
      <w:r>
        <w:rPr>
          <w:rFonts w:ascii="Arial" w:hAnsi="Arial" w:cs="Arial"/>
        </w:rPr>
        <w:t xml:space="preserve">Despite the budget savings identified in this report, as outlined above at point xx, there remain forecast budget </w:t>
      </w:r>
      <w:r w:rsidRPr="00A72F40">
        <w:rPr>
          <w:rFonts w:ascii="Arial" w:hAnsi="Arial" w:cs="Arial"/>
        </w:rPr>
        <w:t>deficits of £0.619m in 2023/24 and £0.732m</w:t>
      </w:r>
      <w:r>
        <w:rPr>
          <w:rFonts w:ascii="Arial" w:hAnsi="Arial" w:cs="Arial"/>
        </w:rPr>
        <w:t xml:space="preserve"> in 2024/25. The Council’s medium-term plans to reduce the budget deficits are outlined in </w:t>
      </w:r>
      <w:r w:rsidRPr="00990A29">
        <w:rPr>
          <w:rFonts w:ascii="Arial" w:hAnsi="Arial" w:cs="Arial"/>
          <w:b/>
          <w:bCs/>
        </w:rPr>
        <w:t>Appendix D –</w:t>
      </w:r>
      <w:r>
        <w:rPr>
          <w:rFonts w:ascii="Arial" w:hAnsi="Arial" w:cs="Arial"/>
        </w:rPr>
        <w:t xml:space="preserve"> </w:t>
      </w:r>
      <w:r w:rsidRPr="00990A29">
        <w:rPr>
          <w:rFonts w:ascii="Arial" w:hAnsi="Arial" w:cs="Arial"/>
          <w:i/>
          <w:iCs/>
        </w:rPr>
        <w:t>‘Delivering our priorities – Medium Term Financial Strategy 2022/23 to 2024/25</w:t>
      </w:r>
      <w:r>
        <w:rPr>
          <w:rFonts w:ascii="Arial" w:hAnsi="Arial" w:cs="Arial"/>
        </w:rPr>
        <w:t>’.</w:t>
      </w:r>
    </w:p>
    <w:p w14:paraId="0679EAF7" w14:textId="77777777" w:rsidR="003C02CA" w:rsidRDefault="003C02CA" w:rsidP="003C02CA">
      <w:pPr>
        <w:pStyle w:val="ListParagraph"/>
        <w:spacing w:after="0" w:line="240" w:lineRule="auto"/>
        <w:ind w:left="567"/>
        <w:jc w:val="both"/>
        <w:rPr>
          <w:rFonts w:ascii="Arial" w:hAnsi="Arial" w:cs="Arial"/>
        </w:rPr>
      </w:pPr>
    </w:p>
    <w:p w14:paraId="0E37C1AD" w14:textId="77777777" w:rsidR="003C02CA" w:rsidRPr="00490D3C" w:rsidRDefault="003C02CA" w:rsidP="003C02CA">
      <w:pPr>
        <w:pStyle w:val="ListParagraph"/>
        <w:numPr>
          <w:ilvl w:val="0"/>
          <w:numId w:val="11"/>
        </w:numPr>
        <w:tabs>
          <w:tab w:val="left" w:pos="567"/>
        </w:tabs>
        <w:spacing w:after="0" w:line="240" w:lineRule="auto"/>
        <w:jc w:val="both"/>
        <w:rPr>
          <w:rFonts w:ascii="Arial" w:hAnsi="Arial" w:cs="Arial"/>
        </w:rPr>
      </w:pPr>
      <w:r>
        <w:rPr>
          <w:rFonts w:ascii="Arial" w:hAnsi="Arial" w:cs="Arial"/>
        </w:rPr>
        <w:t xml:space="preserve">The transformation strategy covers many aspects of change both within the council and in partnership with other organisations. The main strands of the strategy that could generate savings and income are outlined within </w:t>
      </w:r>
      <w:r w:rsidRPr="00990A29">
        <w:rPr>
          <w:rFonts w:ascii="Arial" w:hAnsi="Arial" w:cs="Arial"/>
          <w:b/>
          <w:bCs/>
        </w:rPr>
        <w:t>Appendix D</w:t>
      </w:r>
      <w:r>
        <w:rPr>
          <w:rFonts w:ascii="Arial" w:hAnsi="Arial" w:cs="Arial"/>
          <w:b/>
          <w:bCs/>
        </w:rPr>
        <w:t>.</w:t>
      </w:r>
    </w:p>
    <w:p w14:paraId="0C0DC951" w14:textId="77777777" w:rsidR="003C02CA" w:rsidRPr="00490D3C" w:rsidRDefault="003C02CA" w:rsidP="003C02CA">
      <w:pPr>
        <w:pStyle w:val="ListParagraph"/>
        <w:rPr>
          <w:rFonts w:ascii="Arial" w:hAnsi="Arial" w:cs="Arial"/>
        </w:rPr>
      </w:pPr>
    </w:p>
    <w:p w14:paraId="07F0D623" w14:textId="77777777" w:rsidR="003C02CA" w:rsidRPr="00CA0113" w:rsidRDefault="003C02CA" w:rsidP="003C02CA">
      <w:pPr>
        <w:pStyle w:val="ListParagraph"/>
        <w:spacing w:after="0" w:line="240" w:lineRule="auto"/>
        <w:ind w:left="567"/>
        <w:jc w:val="both"/>
        <w:rPr>
          <w:rFonts w:ascii="Arial" w:hAnsi="Arial" w:cs="Arial"/>
        </w:rPr>
      </w:pPr>
    </w:p>
    <w:p w14:paraId="3D53A88C" w14:textId="77777777" w:rsidR="003C02CA" w:rsidRPr="00CA0113"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rPr>
          <w:rFonts w:ascii="Arial" w:hAnsi="Arial" w:cs="Arial"/>
        </w:rPr>
      </w:pPr>
      <w:r>
        <w:rPr>
          <w:rFonts w:ascii="Arial" w:hAnsi="Arial" w:cs="Arial"/>
          <w:color w:val="FFFFFF" w:themeColor="background1"/>
          <w:sz w:val="24"/>
          <w:szCs w:val="24"/>
        </w:rPr>
        <w:t>CAPITAL PROGRAMME 2021/22 to 2024/25</w:t>
      </w:r>
    </w:p>
    <w:p w14:paraId="4D75E6AA" w14:textId="77777777" w:rsidR="003C02CA" w:rsidRDefault="003C02CA" w:rsidP="003C02CA">
      <w:pPr>
        <w:pStyle w:val="ListParagraph"/>
        <w:numPr>
          <w:ilvl w:val="0"/>
          <w:numId w:val="11"/>
        </w:numPr>
        <w:spacing w:after="0" w:line="240" w:lineRule="auto"/>
        <w:jc w:val="both"/>
      </w:pPr>
      <w:r>
        <w:rPr>
          <w:rFonts w:asciiTheme="majorHAnsi" w:hAnsiTheme="majorHAnsi" w:cstheme="majorHAnsi"/>
          <w:color w:val="000000" w:themeColor="text1"/>
        </w:rPr>
        <w:t xml:space="preserve">Details </w:t>
      </w:r>
      <w:r w:rsidRPr="008B0D46">
        <w:t>of the capital programme</w:t>
      </w:r>
      <w:r>
        <w:t>,</w:t>
      </w:r>
      <w:r w:rsidRPr="008B0D46">
        <w:t xml:space="preserve"> including new capital investment</w:t>
      </w:r>
      <w:r>
        <w:t>,</w:t>
      </w:r>
      <w:r w:rsidRPr="008B0D46">
        <w:t xml:space="preserve"> are outlined in </w:t>
      </w:r>
      <w:r w:rsidRPr="00F72434">
        <w:rPr>
          <w:b/>
          <w:bCs/>
        </w:rPr>
        <w:t>Appendix F1.</w:t>
      </w:r>
      <w:r w:rsidRPr="008B0D46">
        <w:t xml:space="preserve"> The capital programme </w:t>
      </w:r>
      <w:r w:rsidRPr="00A72F40">
        <w:t>for 2021/22</w:t>
      </w:r>
      <w:r w:rsidRPr="008B0D46">
        <w:t xml:space="preserve"> to 202</w:t>
      </w:r>
      <w:r>
        <w:t>4</w:t>
      </w:r>
      <w:r w:rsidRPr="008B0D46">
        <w:t>/</w:t>
      </w:r>
      <w:r w:rsidRPr="00A72F40">
        <w:t>25 totals £71.6m and</w:t>
      </w:r>
      <w:r w:rsidRPr="008B0D46">
        <w:t xml:space="preserve"> is an indication of how ambitious the Council is in delivering its Corporate Strategy and the priorities within it. </w:t>
      </w:r>
    </w:p>
    <w:p w14:paraId="3F1EDF80" w14:textId="77777777" w:rsidR="003C02CA" w:rsidRPr="005059D9" w:rsidRDefault="003C02CA" w:rsidP="003C02CA">
      <w:pPr>
        <w:spacing w:after="0" w:line="240" w:lineRule="auto"/>
        <w:jc w:val="both"/>
        <w:rPr>
          <w:rFonts w:ascii="Arial" w:hAnsi="Arial" w:cs="Arial"/>
          <w:color w:val="FF0000"/>
          <w:sz w:val="32"/>
          <w:szCs w:val="32"/>
        </w:rPr>
      </w:pPr>
    </w:p>
    <w:p w14:paraId="1E70FFE1" w14:textId="77777777" w:rsidR="003C02CA" w:rsidRPr="00CA0113" w:rsidRDefault="003C02CA" w:rsidP="003C02CA">
      <w:pPr>
        <w:spacing w:after="160" w:line="259" w:lineRule="auto"/>
        <w:rPr>
          <w:rFonts w:ascii="Arial" w:hAnsi="Arial" w:cs="Arial"/>
          <w:b/>
          <w:u w:val="single"/>
        </w:rPr>
      </w:pPr>
      <w:r>
        <w:rPr>
          <w:rFonts w:ascii="Arial" w:hAnsi="Arial" w:cs="Arial"/>
          <w:b/>
          <w:noProof/>
          <w:u w:val="single"/>
        </w:rPr>
        <w:drawing>
          <wp:inline distT="0" distB="0" distL="0" distR="0" wp14:anchorId="65B26009" wp14:editId="071B2DF0">
            <wp:extent cx="5986780" cy="3383280"/>
            <wp:effectExtent l="0" t="0" r="0" b="762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3383280"/>
                    </a:xfrm>
                    <a:prstGeom prst="rect">
                      <a:avLst/>
                    </a:prstGeom>
                    <a:noFill/>
                  </pic:spPr>
                </pic:pic>
              </a:graphicData>
            </a:graphic>
          </wp:inline>
        </w:drawing>
      </w:r>
    </w:p>
    <w:p w14:paraId="70150E10" w14:textId="77777777" w:rsidR="003C02CA" w:rsidRPr="00CA0113" w:rsidRDefault="003C02CA" w:rsidP="003C02CA">
      <w:p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noProof/>
        </w:rPr>
      </w:pPr>
    </w:p>
    <w:p w14:paraId="72C965E8"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33577D47" w14:textId="77777777" w:rsidR="003C02CA" w:rsidRDefault="003C02CA" w:rsidP="003C02CA">
      <w:pPr>
        <w:pStyle w:val="ListParagraph"/>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cs="Arial"/>
          <w:szCs w:val="16"/>
        </w:rPr>
      </w:pPr>
      <w:r>
        <w:t xml:space="preserve">South </w:t>
      </w:r>
      <w:proofErr w:type="spellStart"/>
      <w:r>
        <w:t>Ribble</w:t>
      </w:r>
      <w:proofErr w:type="spellEnd"/>
      <w:r w:rsidRPr="00CA0113">
        <w:t xml:space="preserve"> </w:t>
      </w:r>
      <w:r w:rsidRPr="009F5F58">
        <w:rPr>
          <w:rFonts w:cs="Arial"/>
          <w:szCs w:val="16"/>
        </w:rPr>
        <w:t xml:space="preserve">Council continues to invest through its capital programme to deliver on its ambitions. </w:t>
      </w:r>
    </w:p>
    <w:p w14:paraId="3E6DDA58" w14:textId="77777777" w:rsidR="003C02CA" w:rsidRPr="00FE21CB" w:rsidRDefault="003C02CA" w:rsidP="003C02CA">
      <w:pPr>
        <w:pStyle w:val="ListParagraph"/>
        <w:pBdr>
          <w:top w:val="single" w:sz="2" w:space="1" w:color="FFFFFF"/>
          <w:left w:val="single" w:sz="2" w:space="0" w:color="FFFFFF"/>
          <w:bottom w:val="single" w:sz="2" w:space="2" w:color="FFFFFF"/>
          <w:right w:val="single" w:sz="2" w:space="4" w:color="FFFFFF"/>
        </w:pBdr>
        <w:ind w:left="567"/>
        <w:rPr>
          <w:rFonts w:cs="Arial"/>
          <w:b/>
          <w:bCs/>
          <w:color w:val="FF0000"/>
          <w:szCs w:val="16"/>
        </w:rPr>
      </w:pPr>
      <w:r w:rsidRPr="009F5F58">
        <w:rPr>
          <w:rFonts w:cs="Arial"/>
          <w:szCs w:val="16"/>
        </w:rPr>
        <w:t>This will include:</w:t>
      </w:r>
      <w:r>
        <w:rPr>
          <w:rFonts w:cs="Arial"/>
          <w:szCs w:val="16"/>
        </w:rPr>
        <w:t xml:space="preserve"> </w:t>
      </w:r>
    </w:p>
    <w:p w14:paraId="175E3BBC" w14:textId="77777777" w:rsidR="003C02CA" w:rsidRPr="00132ADF" w:rsidRDefault="003C02CA" w:rsidP="003C02CA">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132ADF">
        <w:t>Improvements to play areas and open spaces across the borough</w:t>
      </w:r>
    </w:p>
    <w:p w14:paraId="15266601" w14:textId="77777777" w:rsidR="003C02CA" w:rsidRPr="00132ADF" w:rsidRDefault="003C02CA" w:rsidP="003C02CA">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132ADF">
        <w:t>Delivery of affordable homes</w:t>
      </w:r>
    </w:p>
    <w:p w14:paraId="7D23EB82" w14:textId="77777777" w:rsidR="003C02CA" w:rsidRPr="00132ADF" w:rsidRDefault="003C02CA" w:rsidP="003C02CA">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132ADF">
        <w:t>Delivery of neighbourhood improvement projects for residents and communities right across the borough including</w:t>
      </w:r>
      <w:r w:rsidRPr="00132ADF">
        <w:rPr>
          <w:rFonts w:cs="Arial"/>
          <w:szCs w:val="16"/>
        </w:rPr>
        <w:t xml:space="preserve"> xxx. </w:t>
      </w:r>
    </w:p>
    <w:p w14:paraId="660ECE70" w14:textId="77777777" w:rsidR="003C02CA" w:rsidRPr="00132ADF" w:rsidRDefault="003C02CA" w:rsidP="003C02CA">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132ADF">
        <w:rPr>
          <w:rFonts w:cs="Arial"/>
          <w:szCs w:val="16"/>
        </w:rPr>
        <w:lastRenderedPageBreak/>
        <w:t>Improving the leisure centres and leisure and sports facilities to encourage our residents to be active and healthy.</w:t>
      </w:r>
    </w:p>
    <w:p w14:paraId="61129466" w14:textId="77777777" w:rsidR="003C02CA" w:rsidRDefault="003C02CA" w:rsidP="003C02CA">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132ADF">
        <w:rPr>
          <w:rFonts w:cs="Arial"/>
          <w:szCs w:val="16"/>
        </w:rPr>
        <w:t>Supporting our town centre through the delivery of the Towns Fund project</w:t>
      </w:r>
    </w:p>
    <w:p w14:paraId="20D3F49C" w14:textId="77777777" w:rsidR="003C02CA" w:rsidRPr="00132ADF" w:rsidRDefault="003C02CA" w:rsidP="003C02CA">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Pr>
          <w:rFonts w:cs="Arial"/>
          <w:szCs w:val="16"/>
        </w:rPr>
        <w:t>Supporting our ambition to become carbon neutral by 2030.</w:t>
      </w:r>
    </w:p>
    <w:p w14:paraId="7E5BB931" w14:textId="77777777" w:rsidR="003C02CA" w:rsidRPr="00D95B21" w:rsidRDefault="003C02CA" w:rsidP="003C02CA">
      <w:pPr>
        <w:pBdr>
          <w:top w:val="single" w:sz="2" w:space="1" w:color="FFFFFF"/>
          <w:left w:val="single" w:sz="2" w:space="0" w:color="FFFFFF"/>
          <w:bottom w:val="single" w:sz="2" w:space="2" w:color="FFFFFF"/>
          <w:right w:val="single" w:sz="2" w:space="4" w:color="FFFFFF"/>
        </w:pBdr>
        <w:ind w:left="567"/>
        <w:contextualSpacing/>
        <w:rPr>
          <w:rFonts w:cs="Arial"/>
          <w:sz w:val="12"/>
          <w:szCs w:val="6"/>
          <w:highlight w:val="yellow"/>
        </w:rPr>
      </w:pPr>
    </w:p>
    <w:p w14:paraId="1FDC99AB" w14:textId="77777777" w:rsidR="003C02CA" w:rsidRPr="008B0D46" w:rsidRDefault="003C02CA" w:rsidP="003C02CA">
      <w:pPr>
        <w:pBdr>
          <w:top w:val="single" w:sz="2" w:space="1" w:color="FFFFFF"/>
          <w:left w:val="single" w:sz="2" w:space="0" w:color="FFFFFF"/>
          <w:bottom w:val="single" w:sz="2" w:space="2" w:color="FFFFFF"/>
          <w:right w:val="single" w:sz="2" w:space="4" w:color="FFFFFF"/>
        </w:pBdr>
        <w:spacing w:after="100" w:afterAutospacing="1"/>
        <w:ind w:left="567"/>
        <w:contextualSpacing/>
        <w:rPr>
          <w:rFonts w:cs="Arial"/>
          <w:b/>
          <w:sz w:val="12"/>
          <w:szCs w:val="18"/>
          <w:u w:val="single"/>
        </w:rPr>
      </w:pPr>
    </w:p>
    <w:p w14:paraId="6CFFFB2D" w14:textId="77777777" w:rsidR="003C02CA" w:rsidRPr="00184219"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8B0D46">
        <w:rPr>
          <w:rFonts w:cs="Arial"/>
          <w:szCs w:val="16"/>
        </w:rPr>
        <w:t>The council’s capital programme is constructed based upon several objectives including the requirement to be affordable and prudent. To do this the council will ensure that whenever possible</w:t>
      </w:r>
      <w:r>
        <w:rPr>
          <w:rFonts w:cs="Arial"/>
          <w:szCs w:val="16"/>
        </w:rPr>
        <w:t>,</w:t>
      </w:r>
      <w:r w:rsidRPr="008B0D46">
        <w:rPr>
          <w:rFonts w:cs="Arial"/>
          <w:szCs w:val="16"/>
        </w:rPr>
        <w:t xml:space="preserve"> the impact of additional investment on revenue budgets will be minimised. </w:t>
      </w:r>
    </w:p>
    <w:p w14:paraId="3353E72F" w14:textId="77777777" w:rsidR="003C02CA" w:rsidRPr="00184219"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34D8B70A" w14:textId="77777777" w:rsidR="003C02CA" w:rsidRPr="00184219"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8B0D46">
        <w:rPr>
          <w:rFonts w:cs="Arial"/>
          <w:szCs w:val="16"/>
        </w:rPr>
        <w:t xml:space="preserve">The council has </w:t>
      </w:r>
      <w:proofErr w:type="gramStart"/>
      <w:r w:rsidRPr="008B0D46">
        <w:rPr>
          <w:rFonts w:cs="Arial"/>
          <w:szCs w:val="16"/>
        </w:rPr>
        <w:t>a number of</w:t>
      </w:r>
      <w:proofErr w:type="gramEnd"/>
      <w:r w:rsidRPr="008B0D46">
        <w:rPr>
          <w:rFonts w:cs="Arial"/>
          <w:szCs w:val="16"/>
        </w:rPr>
        <w:t xml:space="preserve"> sources of funding it can use to invest in the borough including, C</w:t>
      </w:r>
      <w:r>
        <w:rPr>
          <w:rFonts w:cs="Arial"/>
          <w:szCs w:val="16"/>
        </w:rPr>
        <w:t>ommunity Infrastructure Levy (CIL)</w:t>
      </w:r>
      <w:r w:rsidRPr="008B0D46">
        <w:rPr>
          <w:rFonts w:cs="Arial"/>
          <w:szCs w:val="16"/>
        </w:rPr>
        <w:t>, s</w:t>
      </w:r>
      <w:r>
        <w:rPr>
          <w:rFonts w:cs="Arial"/>
          <w:szCs w:val="16"/>
        </w:rPr>
        <w:t xml:space="preserve">ection </w:t>
      </w:r>
      <w:r w:rsidRPr="008B0D46">
        <w:rPr>
          <w:rFonts w:cs="Arial"/>
          <w:szCs w:val="16"/>
        </w:rPr>
        <w:t>106</w:t>
      </w:r>
      <w:r>
        <w:rPr>
          <w:rFonts w:cs="Arial"/>
          <w:szCs w:val="16"/>
        </w:rPr>
        <w:t xml:space="preserve"> funding</w:t>
      </w:r>
      <w:r w:rsidRPr="008B0D46">
        <w:rPr>
          <w:rFonts w:cs="Arial"/>
          <w:szCs w:val="16"/>
        </w:rPr>
        <w:t>, grant funding and capital receipts. Where appropriate the council will also generate future revenue income streams through capital investment to exceed the repayment of borrowing</w:t>
      </w:r>
      <w:r>
        <w:rPr>
          <w:rFonts w:cs="Arial"/>
          <w:szCs w:val="16"/>
        </w:rPr>
        <w:t>.</w:t>
      </w:r>
    </w:p>
    <w:p w14:paraId="78F2C09D" w14:textId="77777777" w:rsidR="003C02CA" w:rsidRPr="00184219" w:rsidRDefault="003C02CA" w:rsidP="003C02CA">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13D439E7"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4FBE17ED" w14:textId="77777777" w:rsidR="003C02CA" w:rsidRPr="00CA0113" w:rsidRDefault="003C02CA" w:rsidP="003C02CA">
      <w:pPr>
        <w:pStyle w:val="Heading1"/>
        <w:pBdr>
          <w:top w:val="single" w:sz="8" w:space="1" w:color="auto"/>
          <w:left w:val="single" w:sz="8" w:space="4" w:color="auto"/>
          <w:bottom w:val="single" w:sz="8" w:space="1" w:color="auto"/>
          <w:right w:val="single" w:sz="8" w:space="4" w:color="auto"/>
        </w:pBdr>
        <w:shd w:val="clear" w:color="auto" w:fill="548DD4" w:themeFill="text2" w:themeFillTint="99"/>
        <w:rPr>
          <w:rFonts w:ascii="Arial" w:hAnsi="Arial" w:cs="Arial"/>
          <w:b w:val="0"/>
          <w:bCs w:val="0"/>
          <w:color w:val="147FA8"/>
          <w:sz w:val="24"/>
          <w:szCs w:val="24"/>
        </w:rPr>
      </w:pPr>
      <w:r>
        <w:rPr>
          <w:rFonts w:ascii="Arial" w:hAnsi="Arial" w:cs="Arial"/>
          <w:color w:val="FFFFFF" w:themeColor="background1"/>
          <w:sz w:val="24"/>
          <w:szCs w:val="24"/>
        </w:rPr>
        <w:t>CAPITAL FINANCING</w:t>
      </w:r>
    </w:p>
    <w:p w14:paraId="4AA8C41A" w14:textId="77777777" w:rsidR="003C02CA" w:rsidRPr="00CA0113"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F72434">
        <w:t xml:space="preserve">The financing of the capital programme for the period 2022/23 to 2024/25 is set out in </w:t>
      </w:r>
      <w:r w:rsidRPr="00F72434">
        <w:rPr>
          <w:b/>
          <w:bCs/>
        </w:rPr>
        <w:t>Appendix F2</w:t>
      </w:r>
      <w:r w:rsidRPr="00F72434">
        <w:t xml:space="preserve"> to the budget</w:t>
      </w:r>
      <w:r w:rsidRPr="00CA0113">
        <w:t xml:space="preserve"> report and summarised in the proceeding chart.</w:t>
      </w:r>
    </w:p>
    <w:p w14:paraId="4777ED97"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5EE29305"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Pr>
          <w:noProof/>
        </w:rPr>
        <w:drawing>
          <wp:inline distT="0" distB="0" distL="0" distR="0" wp14:anchorId="38BDFC8C" wp14:editId="6B8E4EB7">
            <wp:extent cx="6389370" cy="3841115"/>
            <wp:effectExtent l="0" t="0" r="0" b="6985"/>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3841115"/>
                    </a:xfrm>
                    <a:prstGeom prst="rect">
                      <a:avLst/>
                    </a:prstGeom>
                    <a:noFill/>
                  </pic:spPr>
                </pic:pic>
              </a:graphicData>
            </a:graphic>
          </wp:inline>
        </w:drawing>
      </w:r>
    </w:p>
    <w:p w14:paraId="352F0680"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6819349D" w14:textId="77777777" w:rsidR="003C02CA" w:rsidRPr="00CA0113"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CA0113">
        <w:t xml:space="preserve">The capital programme includes </w:t>
      </w:r>
      <w:proofErr w:type="gramStart"/>
      <w:r w:rsidRPr="00CA0113">
        <w:t>a number of</w:t>
      </w:r>
      <w:proofErr w:type="gramEnd"/>
      <w:r w:rsidRPr="00CA0113">
        <w:t xml:space="preserve"> schemes that are forecast to generate revenue that will meet the annual cost of borrowing required to complete the project. These include investment in affordable housing and extra care as well as future investments in sport and leisure services.</w:t>
      </w:r>
    </w:p>
    <w:p w14:paraId="2A045C41"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0453EEB3" w14:textId="77777777" w:rsidR="003C02CA" w:rsidRPr="00F72434"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CA0113">
        <w:lastRenderedPageBreak/>
        <w:t xml:space="preserve">The council will </w:t>
      </w:r>
      <w:r w:rsidRPr="001E091E">
        <w:t xml:space="preserve">invest at least £5.4m over the coming three years of contributions from developers as outlined in </w:t>
      </w:r>
      <w:r w:rsidRPr="001E091E">
        <w:rPr>
          <w:b/>
          <w:bCs/>
        </w:rPr>
        <w:t>Appendix F2</w:t>
      </w:r>
      <w:r w:rsidRPr="001E091E">
        <w:t>. A summary</w:t>
      </w:r>
      <w:r w:rsidRPr="00F72434">
        <w:t xml:space="preserve"> of s106 funding received and allocated is attached in </w:t>
      </w:r>
      <w:r w:rsidRPr="00F72434">
        <w:rPr>
          <w:b/>
          <w:bCs/>
        </w:rPr>
        <w:t>Appendix F3.</w:t>
      </w:r>
      <w:r w:rsidRPr="00F72434">
        <w:t xml:space="preserve">       </w:t>
      </w:r>
    </w:p>
    <w:p w14:paraId="22F90EA3" w14:textId="77777777" w:rsidR="003C02CA" w:rsidRPr="00F72434" w:rsidRDefault="003C02CA" w:rsidP="003C02C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47B3533D" w14:textId="77777777" w:rsidR="003C02CA" w:rsidRPr="00CA0113" w:rsidRDefault="003C02CA" w:rsidP="003C02CA">
      <w:pPr>
        <w:numPr>
          <w:ilvl w:val="0"/>
          <w:numId w:val="11"/>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F72434">
        <w:rPr>
          <w:b/>
          <w:bCs/>
        </w:rPr>
        <w:t>Appendix G</w:t>
      </w:r>
      <w:r w:rsidRPr="00F72434">
        <w:t xml:space="preserve"> – </w:t>
      </w:r>
      <w:r w:rsidRPr="00F72434">
        <w:rPr>
          <w:i/>
          <w:iCs/>
        </w:rPr>
        <w:t>Capital Strategy</w:t>
      </w:r>
      <w:r w:rsidRPr="00CA0113">
        <w:t xml:space="preserve"> - to the budget report outlines the council’s capital strategy including specific risks within the programme, performance indicators and the council’s capital ambition beyond the three-year budget cycle.</w:t>
      </w:r>
    </w:p>
    <w:p w14:paraId="458D24B3" w14:textId="77777777" w:rsidR="003C02CA" w:rsidRDefault="003C02CA" w:rsidP="003C02CA">
      <w:pPr>
        <w:pStyle w:val="Heading1"/>
        <w:spacing w:before="0" w:beforeAutospacing="0" w:after="0" w:afterAutospacing="0"/>
        <w:rPr>
          <w:rFonts w:ascii="Arial" w:hAnsi="Arial" w:cs="Arial"/>
          <w:color w:val="147FA8"/>
          <w:sz w:val="24"/>
          <w:szCs w:val="24"/>
        </w:rPr>
      </w:pPr>
    </w:p>
    <w:p w14:paraId="52C5C330" w14:textId="77777777" w:rsidR="003C02CA" w:rsidRPr="00CA0113" w:rsidRDefault="003C02CA" w:rsidP="003C02CA">
      <w:pPr>
        <w:pStyle w:val="Heading1"/>
        <w:spacing w:before="0" w:beforeAutospacing="0" w:after="0" w:afterAutospacing="0"/>
        <w:rPr>
          <w:b w:val="0"/>
        </w:rPr>
      </w:pPr>
      <w:r w:rsidRPr="00CA0113">
        <w:rPr>
          <w:rFonts w:ascii="Arial" w:hAnsi="Arial" w:cs="Arial"/>
          <w:color w:val="147FA8"/>
          <w:sz w:val="24"/>
          <w:szCs w:val="24"/>
        </w:rPr>
        <w:t>C</w:t>
      </w:r>
      <w:r w:rsidRPr="00132ADF">
        <w:rPr>
          <w:rFonts w:ascii="Arial" w:hAnsi="Arial" w:cs="Arial"/>
          <w:color w:val="147FA8"/>
          <w:sz w:val="24"/>
          <w:szCs w:val="24"/>
        </w:rPr>
        <w:t>ONCLUSIONS</w:t>
      </w:r>
    </w:p>
    <w:p w14:paraId="07DDF251" w14:textId="77777777" w:rsidR="003C02CA" w:rsidRPr="00CA0113" w:rsidRDefault="003C02CA" w:rsidP="003C02CA">
      <w:pPr>
        <w:rPr>
          <w:rFonts w:cs="Arial"/>
        </w:rPr>
      </w:pPr>
    </w:p>
    <w:p w14:paraId="68A5B3C9" w14:textId="77777777" w:rsidR="003C02CA" w:rsidRPr="00CA0113" w:rsidRDefault="003C02CA" w:rsidP="003C02CA">
      <w:pPr>
        <w:pStyle w:val="ListParagraph"/>
        <w:numPr>
          <w:ilvl w:val="0"/>
          <w:numId w:val="11"/>
        </w:numPr>
        <w:pBdr>
          <w:top w:val="single" w:sz="2" w:space="1" w:color="FFFFFF"/>
          <w:left w:val="single" w:sz="2" w:space="0" w:color="FFFFFF"/>
          <w:bottom w:val="single" w:sz="2" w:space="2" w:color="FFFFFF"/>
          <w:right w:val="single" w:sz="2" w:space="4" w:color="FFFFFF"/>
        </w:pBdr>
        <w:spacing w:after="100" w:afterAutospacing="1" w:line="240" w:lineRule="auto"/>
        <w:jc w:val="both"/>
      </w:pPr>
      <w:r w:rsidRPr="00CA0113">
        <w:t>This paper outlines for the Council the</w:t>
      </w:r>
      <w:r>
        <w:t xml:space="preserve"> Cabinet’s</w:t>
      </w:r>
      <w:r w:rsidRPr="00CA0113">
        <w:t xml:space="preserve"> budget proposals for 202</w:t>
      </w:r>
      <w:r>
        <w:t>2</w:t>
      </w:r>
      <w:r w:rsidRPr="00CA0113">
        <w:t>/2</w:t>
      </w:r>
      <w:r>
        <w:t>3</w:t>
      </w:r>
      <w:r w:rsidRPr="00CA0113">
        <w:t xml:space="preserve"> which are:</w:t>
      </w:r>
    </w:p>
    <w:p w14:paraId="37EF2639" w14:textId="77777777" w:rsidR="003C02CA" w:rsidRPr="00CA0113" w:rsidRDefault="003C02CA" w:rsidP="003C02CA">
      <w:pPr>
        <w:pStyle w:val="ListParagraph"/>
        <w:pBdr>
          <w:top w:val="single" w:sz="2" w:space="1" w:color="FFFFFF"/>
          <w:left w:val="single" w:sz="2" w:space="0" w:color="FFFFFF"/>
          <w:bottom w:val="single" w:sz="2" w:space="2" w:color="FFFFFF"/>
          <w:right w:val="single" w:sz="2" w:space="4" w:color="FFFFFF"/>
        </w:pBdr>
        <w:tabs>
          <w:tab w:val="left" w:pos="567"/>
          <w:tab w:val="left" w:pos="1134"/>
        </w:tabs>
        <w:ind w:left="1080" w:right="567"/>
        <w:rPr>
          <w:b/>
        </w:rPr>
      </w:pPr>
    </w:p>
    <w:p w14:paraId="6C9A2A60" w14:textId="77777777" w:rsidR="003C02CA" w:rsidRPr="00CA0113" w:rsidRDefault="003C02CA" w:rsidP="003C02CA">
      <w:pPr>
        <w:pStyle w:val="ListParagraph"/>
        <w:numPr>
          <w:ilvl w:val="0"/>
          <w:numId w:val="17"/>
        </w:numPr>
        <w:pBdr>
          <w:top w:val="single" w:sz="2" w:space="0" w:color="FFFFFF"/>
          <w:left w:val="single" w:sz="2" w:space="0" w:color="FFFFFF"/>
          <w:bottom w:val="single" w:sz="2" w:space="2" w:color="FFFFFF"/>
          <w:right w:val="single" w:sz="2" w:space="4" w:color="FFFFFF"/>
        </w:pBdr>
        <w:tabs>
          <w:tab w:val="left" w:pos="567"/>
          <w:tab w:val="left" w:pos="1134"/>
        </w:tabs>
        <w:spacing w:after="0" w:line="240" w:lineRule="auto"/>
        <w:ind w:right="567"/>
        <w:jc w:val="both"/>
        <w:rPr>
          <w:b/>
        </w:rPr>
      </w:pPr>
      <w:r w:rsidRPr="00CA0113">
        <w:rPr>
          <w:b/>
        </w:rPr>
        <w:t>A budget that sets out the risk to the council of the future uncertainty in Government funding over the medium-term.</w:t>
      </w:r>
    </w:p>
    <w:p w14:paraId="7158A4A0" w14:textId="77777777" w:rsidR="003C02CA" w:rsidRPr="00CA0113" w:rsidRDefault="003C02CA" w:rsidP="003C02CA">
      <w:pPr>
        <w:pStyle w:val="ListParagraph"/>
        <w:pBdr>
          <w:top w:val="single" w:sz="2" w:space="1" w:color="FFFFFF"/>
          <w:left w:val="single" w:sz="2" w:space="0" w:color="FFFFFF"/>
          <w:bottom w:val="single" w:sz="2" w:space="2" w:color="FFFFFF"/>
          <w:right w:val="single" w:sz="2" w:space="4" w:color="FFFFFF"/>
        </w:pBdr>
        <w:tabs>
          <w:tab w:val="left" w:pos="567"/>
          <w:tab w:val="left" w:pos="1134"/>
        </w:tabs>
        <w:ind w:left="1080" w:right="567"/>
        <w:rPr>
          <w:b/>
          <w:color w:val="FF0000"/>
          <w:highlight w:val="yellow"/>
        </w:rPr>
      </w:pPr>
    </w:p>
    <w:p w14:paraId="70B082C9" w14:textId="77777777" w:rsidR="003C02CA" w:rsidRPr="00CA0113" w:rsidRDefault="003C02CA" w:rsidP="003C02CA">
      <w:pPr>
        <w:pStyle w:val="ListParagraph"/>
        <w:numPr>
          <w:ilvl w:val="0"/>
          <w:numId w:val="17"/>
        </w:numPr>
        <w:pBdr>
          <w:top w:val="single" w:sz="2" w:space="1" w:color="FFFFFF"/>
          <w:left w:val="single" w:sz="2" w:space="0" w:color="FFFFFF"/>
          <w:bottom w:val="single" w:sz="2" w:space="2" w:color="FFFFFF"/>
          <w:right w:val="single" w:sz="2" w:space="4" w:color="FFFFFF"/>
        </w:pBdr>
        <w:tabs>
          <w:tab w:val="left" w:pos="567"/>
          <w:tab w:val="left" w:pos="1134"/>
        </w:tabs>
        <w:spacing w:after="0" w:line="240" w:lineRule="auto"/>
        <w:ind w:right="567"/>
        <w:jc w:val="both"/>
        <w:rPr>
          <w:b/>
        </w:rPr>
      </w:pPr>
      <w:r w:rsidRPr="00CA0113">
        <w:rPr>
          <w:b/>
        </w:rPr>
        <w:t>A budget that has allowed the council to</w:t>
      </w:r>
      <w:r>
        <w:rPr>
          <w:b/>
        </w:rPr>
        <w:t xml:space="preserve"> commit to over</w:t>
      </w:r>
      <w:r w:rsidRPr="00CA0113">
        <w:rPr>
          <w:b/>
        </w:rPr>
        <w:t xml:space="preserve"> £1m </w:t>
      </w:r>
      <w:r>
        <w:rPr>
          <w:b/>
        </w:rPr>
        <w:t>in</w:t>
      </w:r>
      <w:r w:rsidRPr="00CA0113">
        <w:rPr>
          <w:b/>
        </w:rPr>
        <w:t xml:space="preserve"> revenue investment packages.</w:t>
      </w:r>
    </w:p>
    <w:p w14:paraId="3E96522E" w14:textId="77777777" w:rsidR="003C02CA" w:rsidRPr="00CA0113" w:rsidRDefault="003C02CA" w:rsidP="003C02CA">
      <w:pPr>
        <w:pStyle w:val="ListParagraph"/>
        <w:rPr>
          <w:b/>
        </w:rPr>
      </w:pPr>
    </w:p>
    <w:p w14:paraId="27DB7D9D" w14:textId="77777777" w:rsidR="003C02CA" w:rsidRPr="00CA0113" w:rsidRDefault="003C02CA" w:rsidP="003C02CA">
      <w:pPr>
        <w:pStyle w:val="ListParagraph"/>
        <w:numPr>
          <w:ilvl w:val="0"/>
          <w:numId w:val="17"/>
        </w:numPr>
        <w:pBdr>
          <w:top w:val="single" w:sz="2" w:space="1" w:color="FFFFFF"/>
          <w:left w:val="single" w:sz="2" w:space="0" w:color="FFFFFF"/>
          <w:bottom w:val="single" w:sz="2" w:space="2" w:color="FFFFFF"/>
          <w:right w:val="single" w:sz="2" w:space="4" w:color="FFFFFF"/>
        </w:pBdr>
        <w:tabs>
          <w:tab w:val="left" w:pos="1134"/>
        </w:tabs>
        <w:spacing w:after="0" w:line="240" w:lineRule="auto"/>
        <w:ind w:right="567"/>
        <w:contextualSpacing w:val="0"/>
        <w:jc w:val="both"/>
        <w:rPr>
          <w:b/>
        </w:rPr>
      </w:pPr>
      <w:r>
        <w:rPr>
          <w:b/>
        </w:rPr>
        <w:t>Ensures i</w:t>
      </w:r>
      <w:r w:rsidRPr="00CA0113">
        <w:rPr>
          <w:b/>
        </w:rPr>
        <w:t xml:space="preserve">nvestments </w:t>
      </w:r>
      <w:r>
        <w:rPr>
          <w:b/>
        </w:rPr>
        <w:t xml:space="preserve">can </w:t>
      </w:r>
      <w:r w:rsidRPr="00CA0113">
        <w:rPr>
          <w:b/>
        </w:rPr>
        <w:t>be made in key areas to support the Corporate Strategy:</w:t>
      </w:r>
    </w:p>
    <w:p w14:paraId="2A6EADC7" w14:textId="77777777" w:rsidR="003C02CA" w:rsidRPr="00CA0113" w:rsidRDefault="003C02CA" w:rsidP="003C02CA">
      <w:pPr>
        <w:pStyle w:val="ListParagraph"/>
        <w:pBdr>
          <w:top w:val="single" w:sz="2" w:space="0" w:color="FFFFFF"/>
          <w:left w:val="single" w:sz="2" w:space="0" w:color="FFFFFF"/>
          <w:bottom w:val="single" w:sz="2" w:space="2" w:color="FFFFFF"/>
          <w:right w:val="single" w:sz="2" w:space="4" w:color="FFFFFF"/>
        </w:pBdr>
        <w:spacing w:after="120" w:line="240" w:lineRule="auto"/>
        <w:ind w:left="2127" w:right="992"/>
        <w:jc w:val="both"/>
        <w:rPr>
          <w:b/>
          <w:i/>
          <w:highlight w:val="yellow"/>
        </w:rPr>
      </w:pPr>
    </w:p>
    <w:p w14:paraId="730D788B" w14:textId="77777777" w:rsidR="003C02CA" w:rsidRPr="00F10086" w:rsidRDefault="003C02CA" w:rsidP="003C02CA">
      <w:pPr>
        <w:pStyle w:val="ListParagraph"/>
        <w:numPr>
          <w:ilvl w:val="1"/>
          <w:numId w:val="17"/>
        </w:numPr>
        <w:spacing w:after="0"/>
        <w:jc w:val="both"/>
        <w:rPr>
          <w:bCs/>
          <w:iCs/>
        </w:rPr>
      </w:pPr>
      <w:r w:rsidRPr="00F10086">
        <w:rPr>
          <w:bCs/>
          <w:iCs/>
        </w:rPr>
        <w:t xml:space="preserve">An </w:t>
      </w:r>
      <w:r w:rsidRPr="00F10086">
        <w:rPr>
          <w:rFonts w:asciiTheme="majorHAnsi" w:hAnsiTheme="majorHAnsi" w:cstheme="majorHAnsi"/>
          <w:iCs/>
          <w:color w:val="000000" w:themeColor="text1"/>
        </w:rPr>
        <w:t>exemplary</w:t>
      </w:r>
      <w:r w:rsidRPr="00F10086">
        <w:rPr>
          <w:bCs/>
          <w:iCs/>
        </w:rPr>
        <w:t xml:space="preserve"> council</w:t>
      </w:r>
    </w:p>
    <w:p w14:paraId="66D650C0" w14:textId="77777777" w:rsidR="003C02CA" w:rsidRPr="00F10086" w:rsidRDefault="003C02CA" w:rsidP="003C02CA">
      <w:pPr>
        <w:pStyle w:val="ListParagraph"/>
        <w:numPr>
          <w:ilvl w:val="1"/>
          <w:numId w:val="17"/>
        </w:numPr>
        <w:rPr>
          <w:bCs/>
          <w:iCs/>
        </w:rPr>
      </w:pPr>
      <w:r w:rsidRPr="00F10086">
        <w:rPr>
          <w:bCs/>
          <w:iCs/>
        </w:rPr>
        <w:t>Thriving communities</w:t>
      </w:r>
    </w:p>
    <w:p w14:paraId="46E4B116" w14:textId="77777777" w:rsidR="003C02CA" w:rsidRPr="00F10086" w:rsidRDefault="003C02CA" w:rsidP="003C02CA">
      <w:pPr>
        <w:pStyle w:val="ListParagraph"/>
        <w:numPr>
          <w:ilvl w:val="1"/>
          <w:numId w:val="17"/>
        </w:numPr>
        <w:rPr>
          <w:bCs/>
          <w:iCs/>
        </w:rPr>
      </w:pPr>
      <w:r w:rsidRPr="00F10086">
        <w:rPr>
          <w:bCs/>
          <w:iCs/>
        </w:rPr>
        <w:t>A fair local economy that works for everyone</w:t>
      </w:r>
    </w:p>
    <w:p w14:paraId="4E6A82F1" w14:textId="77777777" w:rsidR="003C02CA" w:rsidRPr="00F10086" w:rsidRDefault="003C02CA" w:rsidP="003C02CA">
      <w:pPr>
        <w:pStyle w:val="ListParagraph"/>
        <w:numPr>
          <w:ilvl w:val="1"/>
          <w:numId w:val="17"/>
        </w:numPr>
        <w:rPr>
          <w:bCs/>
          <w:iCs/>
        </w:rPr>
      </w:pPr>
      <w:r w:rsidRPr="00F10086">
        <w:rPr>
          <w:bCs/>
          <w:iCs/>
        </w:rPr>
        <w:t>Good homes, green spaces, healthy places</w:t>
      </w:r>
    </w:p>
    <w:p w14:paraId="672E2B3E" w14:textId="77777777" w:rsidR="003C02CA" w:rsidRPr="00CA0113" w:rsidRDefault="003C02CA" w:rsidP="003C02CA">
      <w:pPr>
        <w:pStyle w:val="ListParagraph"/>
        <w:rPr>
          <w:b/>
          <w:highlight w:val="yellow"/>
        </w:rPr>
      </w:pPr>
    </w:p>
    <w:p w14:paraId="713DE59A" w14:textId="77777777" w:rsidR="003C02CA" w:rsidRDefault="003C02CA" w:rsidP="003C02CA">
      <w:pPr>
        <w:pStyle w:val="ListParagraph"/>
        <w:numPr>
          <w:ilvl w:val="0"/>
          <w:numId w:val="17"/>
        </w:numPr>
        <w:pBdr>
          <w:top w:val="single" w:sz="2" w:space="1" w:color="FFFFFF"/>
          <w:left w:val="single" w:sz="2" w:space="0" w:color="FFFFFF"/>
          <w:bottom w:val="single" w:sz="2" w:space="2" w:color="FFFFFF"/>
          <w:right w:val="single" w:sz="2" w:space="4" w:color="FFFFFF"/>
        </w:pBdr>
        <w:tabs>
          <w:tab w:val="left" w:pos="1134"/>
        </w:tabs>
        <w:spacing w:line="240" w:lineRule="auto"/>
        <w:ind w:right="567"/>
        <w:contextualSpacing w:val="0"/>
        <w:jc w:val="both"/>
        <w:rPr>
          <w:bCs/>
        </w:rPr>
      </w:pPr>
      <w:r w:rsidRPr="00F10086">
        <w:rPr>
          <w:bCs/>
        </w:rPr>
        <w:t>The assumptions included in the budget have been assessed in the light of the latest information available at this time. They are also compatible with:</w:t>
      </w:r>
    </w:p>
    <w:p w14:paraId="6E9E3D5A" w14:textId="77777777" w:rsidR="003C02CA" w:rsidRPr="00F72434" w:rsidRDefault="003C02CA" w:rsidP="003C02CA">
      <w:pPr>
        <w:pStyle w:val="ListParagraph"/>
        <w:numPr>
          <w:ilvl w:val="1"/>
          <w:numId w:val="17"/>
        </w:numPr>
        <w:spacing w:after="0"/>
        <w:jc w:val="both"/>
        <w:rPr>
          <w:b/>
          <w:iCs/>
        </w:rPr>
      </w:pPr>
      <w:r w:rsidRPr="00CA0113">
        <w:rPr>
          <w:bCs/>
          <w:iCs/>
        </w:rPr>
        <w:t xml:space="preserve">the proposed </w:t>
      </w:r>
      <w:r w:rsidRPr="00F10086">
        <w:rPr>
          <w:bCs/>
          <w:i/>
        </w:rPr>
        <w:t xml:space="preserve">Capital </w:t>
      </w:r>
      <w:r w:rsidRPr="00F72434">
        <w:rPr>
          <w:bCs/>
          <w:i/>
        </w:rPr>
        <w:t>Strategy</w:t>
      </w:r>
      <w:r w:rsidRPr="00F72434">
        <w:rPr>
          <w:bCs/>
          <w:iCs/>
        </w:rPr>
        <w:t xml:space="preserve"> as set out in </w:t>
      </w:r>
      <w:r w:rsidRPr="00F72434">
        <w:rPr>
          <w:b/>
          <w:iCs/>
        </w:rPr>
        <w:t>Appendix G</w:t>
      </w:r>
    </w:p>
    <w:p w14:paraId="47A4A200" w14:textId="77777777" w:rsidR="003C02CA" w:rsidRPr="00F72434" w:rsidRDefault="003C02CA" w:rsidP="003C02CA">
      <w:pPr>
        <w:pStyle w:val="ListParagraph"/>
        <w:numPr>
          <w:ilvl w:val="1"/>
          <w:numId w:val="17"/>
        </w:numPr>
        <w:spacing w:after="0"/>
        <w:jc w:val="both"/>
        <w:rPr>
          <w:bCs/>
          <w:iCs/>
        </w:rPr>
      </w:pPr>
      <w:r w:rsidRPr="00F72434">
        <w:rPr>
          <w:bCs/>
          <w:iCs/>
        </w:rPr>
        <w:t xml:space="preserve">the proposed </w:t>
      </w:r>
      <w:r w:rsidRPr="00F72434">
        <w:rPr>
          <w:bCs/>
          <w:i/>
        </w:rPr>
        <w:t>Treasury Management Strategy</w:t>
      </w:r>
      <w:r w:rsidRPr="00F72434">
        <w:rPr>
          <w:bCs/>
          <w:iCs/>
        </w:rPr>
        <w:t xml:space="preserve"> as set out in </w:t>
      </w:r>
      <w:r w:rsidRPr="00F72434">
        <w:rPr>
          <w:b/>
          <w:iCs/>
        </w:rPr>
        <w:t xml:space="preserve">Appendix H </w:t>
      </w:r>
    </w:p>
    <w:p w14:paraId="11E7C108" w14:textId="77777777" w:rsidR="003C02CA" w:rsidRPr="00F72434" w:rsidRDefault="003C02CA" w:rsidP="003C02CA">
      <w:pPr>
        <w:pStyle w:val="ListParagraph"/>
        <w:numPr>
          <w:ilvl w:val="1"/>
          <w:numId w:val="17"/>
        </w:numPr>
        <w:spacing w:after="0"/>
        <w:jc w:val="both"/>
        <w:rPr>
          <w:bCs/>
          <w:iCs/>
        </w:rPr>
      </w:pPr>
      <w:r w:rsidRPr="00F72434">
        <w:rPr>
          <w:bCs/>
          <w:iCs/>
        </w:rPr>
        <w:t xml:space="preserve">the proposed </w:t>
      </w:r>
      <w:r w:rsidRPr="00F72434">
        <w:rPr>
          <w:bCs/>
          <w:i/>
        </w:rPr>
        <w:t>Pay Policy</w:t>
      </w:r>
      <w:r w:rsidRPr="00F72434">
        <w:rPr>
          <w:bCs/>
          <w:iCs/>
        </w:rPr>
        <w:t xml:space="preserve"> as set out in </w:t>
      </w:r>
      <w:r w:rsidRPr="00F72434">
        <w:rPr>
          <w:b/>
          <w:i/>
        </w:rPr>
        <w:t>Appendix I</w:t>
      </w:r>
      <w:r w:rsidRPr="00F72434">
        <w:rPr>
          <w:bCs/>
          <w:i/>
        </w:rPr>
        <w:t>.</w:t>
      </w:r>
      <w:r w:rsidRPr="00F72434">
        <w:rPr>
          <w:bCs/>
          <w:iCs/>
        </w:rPr>
        <w:t xml:space="preserve"> </w:t>
      </w:r>
    </w:p>
    <w:p w14:paraId="02E4FA05"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567"/>
          <w:tab w:val="left" w:pos="1134"/>
        </w:tabs>
      </w:pPr>
    </w:p>
    <w:p w14:paraId="25584871" w14:textId="77777777" w:rsidR="003C02CA" w:rsidRPr="00CA0113" w:rsidRDefault="003C02CA" w:rsidP="003C02CA">
      <w:pPr>
        <w:pStyle w:val="ListParagraph"/>
        <w:numPr>
          <w:ilvl w:val="0"/>
          <w:numId w:val="11"/>
        </w:numPr>
        <w:pBdr>
          <w:top w:val="single" w:sz="2" w:space="1" w:color="FFFFFF"/>
          <w:left w:val="single" w:sz="2" w:space="0" w:color="FFFFFF"/>
          <w:bottom w:val="single" w:sz="2" w:space="2" w:color="FFFFFF"/>
          <w:right w:val="single" w:sz="2" w:space="4" w:color="FFFFFF"/>
        </w:pBdr>
        <w:spacing w:after="100" w:afterAutospacing="1" w:line="240" w:lineRule="auto"/>
        <w:jc w:val="both"/>
      </w:pPr>
      <w:r w:rsidRPr="00CA0113">
        <w:t>The MTFS contains the updated budget forecasts to 2023/24 which identifies that further budget savings will be required to bridge the funding gap in future years. The forecasted budget deficit in 202</w:t>
      </w:r>
      <w:r>
        <w:t>4</w:t>
      </w:r>
      <w:r w:rsidRPr="00CA0113">
        <w:t>/2</w:t>
      </w:r>
      <w:r>
        <w:t>5</w:t>
      </w:r>
      <w:r w:rsidRPr="00CA0113">
        <w:t xml:space="preserve"> is estimated to be £</w:t>
      </w:r>
      <w:r>
        <w:t>0.732</w:t>
      </w:r>
      <w:r w:rsidRPr="00CA0113">
        <w:t xml:space="preserve">m and the MTFS sets out options that can be considered to bridge this gap. Therefore, the MTFS provides a plan to deliver a balanced budget over the longer term in </w:t>
      </w:r>
      <w:r w:rsidRPr="00E802CF">
        <w:rPr>
          <w:b/>
          <w:bCs/>
        </w:rPr>
        <w:t>Appendix C</w:t>
      </w:r>
      <w:r w:rsidRPr="00CA0113">
        <w:t>.</w:t>
      </w:r>
    </w:p>
    <w:p w14:paraId="46DFDA7D" w14:textId="77777777" w:rsidR="003C02CA" w:rsidRPr="00CA0113" w:rsidRDefault="003C02CA" w:rsidP="003C02CA">
      <w:pPr>
        <w:pStyle w:val="ListParagraph"/>
        <w:pBdr>
          <w:top w:val="single" w:sz="2" w:space="1" w:color="FFFFFF"/>
          <w:left w:val="single" w:sz="2" w:space="0" w:color="FFFFFF"/>
          <w:bottom w:val="single" w:sz="2" w:space="2" w:color="FFFFFF"/>
          <w:right w:val="single" w:sz="2" w:space="4" w:color="FFFFFF"/>
        </w:pBdr>
        <w:spacing w:after="100" w:afterAutospacing="1"/>
        <w:ind w:left="567"/>
      </w:pPr>
    </w:p>
    <w:p w14:paraId="14CDCA2D" w14:textId="77777777" w:rsidR="003C02CA" w:rsidRPr="00CA0113" w:rsidRDefault="003C02CA" w:rsidP="003C02CA">
      <w:pPr>
        <w:pStyle w:val="ListParagraph"/>
        <w:numPr>
          <w:ilvl w:val="0"/>
          <w:numId w:val="11"/>
        </w:numPr>
        <w:pBdr>
          <w:top w:val="single" w:sz="2" w:space="1" w:color="FFFFFF"/>
          <w:left w:val="single" w:sz="2" w:space="0" w:color="FFFFFF"/>
          <w:bottom w:val="single" w:sz="2" w:space="2" w:color="FFFFFF"/>
          <w:right w:val="single" w:sz="2" w:space="4" w:color="FFFFFF"/>
        </w:pBdr>
        <w:spacing w:after="100" w:afterAutospacing="1" w:line="240" w:lineRule="auto"/>
        <w:jc w:val="both"/>
        <w:rPr>
          <w:rFonts w:cs="Arial"/>
          <w:szCs w:val="24"/>
        </w:rPr>
      </w:pPr>
      <w:r w:rsidRPr="00CA0113">
        <w:t>The council will develop the Transformation Strategy</w:t>
      </w:r>
      <w:r w:rsidRPr="00CA0113">
        <w:rPr>
          <w:rFonts w:cs="Arial"/>
        </w:rPr>
        <w:t xml:space="preserve"> to deliver efficiencies and additional income to support the continued provision of services to its residents and businesses. There are still factors that may affect the current forecast financial position namely the scheduled reform in business rates retention. </w:t>
      </w:r>
    </w:p>
    <w:p w14:paraId="35D1CEE1"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4CFA5FDC"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3C3C57C2"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71FF8956"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73449C9A"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2A38C399"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5EB47D9A"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4D435F8D"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2CB57F90"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49EB7AE6"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ind w:left="567"/>
        <w:rPr>
          <w:rFonts w:cs="Arial"/>
          <w:b/>
          <w:color w:val="FF0000"/>
          <w:szCs w:val="24"/>
          <w:highlight w:val="yellow"/>
        </w:rPr>
      </w:pPr>
    </w:p>
    <w:p w14:paraId="69D69D3F" w14:textId="77777777" w:rsidR="003C02CA" w:rsidRPr="00F72434" w:rsidRDefault="003C02CA" w:rsidP="003C02CA">
      <w:pPr>
        <w:pStyle w:val="ListParagraph"/>
        <w:numPr>
          <w:ilvl w:val="0"/>
          <w:numId w:val="11"/>
        </w:numPr>
        <w:pBdr>
          <w:top w:val="single" w:sz="2" w:space="1" w:color="FFFFFF"/>
          <w:left w:val="single" w:sz="2" w:space="0" w:color="FFFFFF"/>
          <w:bottom w:val="single" w:sz="2" w:space="1" w:color="FFFFFF"/>
          <w:right w:val="single" w:sz="2" w:space="4" w:color="FFFFFF"/>
        </w:pBdr>
        <w:tabs>
          <w:tab w:val="left" w:pos="567"/>
          <w:tab w:val="left" w:pos="1134"/>
        </w:tabs>
        <w:spacing w:after="100" w:afterAutospacing="1" w:line="240" w:lineRule="auto"/>
        <w:jc w:val="both"/>
        <w:rPr>
          <w:rFonts w:cs="Arial"/>
          <w:b/>
          <w:szCs w:val="24"/>
        </w:rPr>
      </w:pPr>
      <w:r w:rsidRPr="00CA0113">
        <w:rPr>
          <w:rFonts w:cs="Arial"/>
          <w:szCs w:val="24"/>
        </w:rPr>
        <w:t xml:space="preserve">The contents of this report are supplemented with additional reports, </w:t>
      </w:r>
      <w:proofErr w:type="gramStart"/>
      <w:r w:rsidRPr="00CA0113">
        <w:rPr>
          <w:rFonts w:cs="Arial"/>
          <w:szCs w:val="24"/>
        </w:rPr>
        <w:t>policies</w:t>
      </w:r>
      <w:proofErr w:type="gramEnd"/>
      <w:r w:rsidRPr="00CA0113">
        <w:rPr>
          <w:rFonts w:cs="Arial"/>
          <w:szCs w:val="24"/>
        </w:rPr>
        <w:t xml:space="preserve"> and statements to provide further details as referenced below:</w:t>
      </w:r>
      <w:r w:rsidRPr="00CA0113">
        <w:rPr>
          <w:rFonts w:cs="Arial"/>
          <w:szCs w:val="24"/>
        </w:rPr>
        <w:tab/>
      </w:r>
    </w:p>
    <w:tbl>
      <w:tblPr>
        <w:tblpPr w:leftFromText="180" w:rightFromText="180"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783"/>
      </w:tblGrid>
      <w:tr w:rsidR="003C02CA" w:rsidRPr="00390769" w14:paraId="70D2A3F1" w14:textId="77777777" w:rsidTr="002F7BAE">
        <w:trPr>
          <w:trHeight w:val="411"/>
        </w:trPr>
        <w:tc>
          <w:tcPr>
            <w:tcW w:w="1696" w:type="dxa"/>
            <w:shd w:val="clear" w:color="auto" w:fill="auto"/>
            <w:vAlign w:val="center"/>
          </w:tcPr>
          <w:p w14:paraId="695B75F7" w14:textId="77777777" w:rsidR="003C02CA" w:rsidRPr="00C84E54" w:rsidRDefault="003C02CA" w:rsidP="002F7BAE">
            <w:pPr>
              <w:tabs>
                <w:tab w:val="left" w:pos="0"/>
                <w:tab w:val="left" w:pos="567"/>
                <w:tab w:val="right" w:pos="851"/>
                <w:tab w:val="left" w:pos="1134"/>
              </w:tabs>
              <w:ind w:right="141"/>
              <w:rPr>
                <w:rFonts w:cs="Arial"/>
                <w:iCs/>
                <w:szCs w:val="24"/>
              </w:rPr>
            </w:pPr>
            <w:r w:rsidRPr="00C84E54">
              <w:rPr>
                <w:rFonts w:cs="Arial"/>
                <w:iCs/>
                <w:szCs w:val="24"/>
              </w:rPr>
              <w:t>Appendix A</w:t>
            </w:r>
          </w:p>
        </w:tc>
        <w:tc>
          <w:tcPr>
            <w:tcW w:w="5783" w:type="dxa"/>
            <w:shd w:val="clear" w:color="auto" w:fill="auto"/>
            <w:vAlign w:val="center"/>
          </w:tcPr>
          <w:p w14:paraId="74C97D23" w14:textId="77777777" w:rsidR="003C02CA" w:rsidRPr="00C84E54" w:rsidRDefault="003C02CA" w:rsidP="002F7BAE">
            <w:pPr>
              <w:tabs>
                <w:tab w:val="left" w:pos="0"/>
                <w:tab w:val="left" w:pos="567"/>
                <w:tab w:val="left" w:pos="1134"/>
              </w:tabs>
              <w:ind w:right="141"/>
              <w:rPr>
                <w:rFonts w:cs="Arial"/>
                <w:szCs w:val="24"/>
              </w:rPr>
            </w:pPr>
            <w:r w:rsidRPr="00C84E54">
              <w:rPr>
                <w:rFonts w:cs="Arial"/>
                <w:szCs w:val="24"/>
              </w:rPr>
              <w:t>Formal Council Tax Resolution 2022/23 including Special Expenses and Parish Precepts</w:t>
            </w:r>
          </w:p>
        </w:tc>
      </w:tr>
      <w:tr w:rsidR="003C02CA" w:rsidRPr="00390769" w14:paraId="35EE3419" w14:textId="77777777" w:rsidTr="002F7BAE">
        <w:trPr>
          <w:trHeight w:val="542"/>
        </w:trPr>
        <w:tc>
          <w:tcPr>
            <w:tcW w:w="1696" w:type="dxa"/>
            <w:shd w:val="clear" w:color="auto" w:fill="auto"/>
            <w:vAlign w:val="center"/>
          </w:tcPr>
          <w:p w14:paraId="5BE85B0C" w14:textId="77777777" w:rsidR="003C02CA" w:rsidRPr="00166830" w:rsidRDefault="003C02CA" w:rsidP="002F7BAE">
            <w:pPr>
              <w:tabs>
                <w:tab w:val="left" w:pos="0"/>
                <w:tab w:val="right" w:pos="1276"/>
              </w:tabs>
              <w:rPr>
                <w:rFonts w:cs="Arial"/>
                <w:szCs w:val="24"/>
              </w:rPr>
            </w:pPr>
            <w:r w:rsidRPr="00166830">
              <w:rPr>
                <w:rFonts w:cs="Arial"/>
                <w:iCs/>
                <w:szCs w:val="24"/>
              </w:rPr>
              <w:t>Appendices B1 - B3</w:t>
            </w:r>
          </w:p>
        </w:tc>
        <w:tc>
          <w:tcPr>
            <w:tcW w:w="5783" w:type="dxa"/>
            <w:shd w:val="clear" w:color="auto" w:fill="auto"/>
            <w:vAlign w:val="center"/>
          </w:tcPr>
          <w:p w14:paraId="7BF9B6FE" w14:textId="77777777" w:rsidR="003C02CA" w:rsidRPr="00390769" w:rsidRDefault="003C02CA" w:rsidP="002F7BAE">
            <w:pPr>
              <w:tabs>
                <w:tab w:val="left" w:pos="567"/>
                <w:tab w:val="left" w:pos="1134"/>
              </w:tabs>
              <w:rPr>
                <w:rFonts w:cs="Arial"/>
                <w:iCs/>
                <w:szCs w:val="24"/>
              </w:rPr>
            </w:pPr>
            <w:r w:rsidRPr="00390769">
              <w:rPr>
                <w:rFonts w:cs="Arial"/>
                <w:iCs/>
                <w:szCs w:val="24"/>
              </w:rPr>
              <w:t>Report of the Chief Finance Officer</w:t>
            </w:r>
            <w:r>
              <w:rPr>
                <w:rFonts w:cs="Arial"/>
                <w:iCs/>
                <w:szCs w:val="24"/>
              </w:rPr>
              <w:t xml:space="preserve"> on the</w:t>
            </w:r>
            <w:r w:rsidRPr="00737E4E">
              <w:t xml:space="preserve"> robustness of the </w:t>
            </w:r>
            <w:r w:rsidRPr="00737E4E">
              <w:rPr>
                <w:rFonts w:cs="Arial"/>
              </w:rPr>
              <w:t>estimates within the overall budget, including the risks contained within it</w:t>
            </w:r>
            <w:r w:rsidRPr="00737E4E">
              <w:t xml:space="preserve"> and the </w:t>
            </w:r>
            <w:r w:rsidRPr="00737E4E">
              <w:rPr>
                <w:rFonts w:cs="Arial"/>
              </w:rPr>
              <w:t>adequacy of the proposed level of financial reserves</w:t>
            </w:r>
          </w:p>
        </w:tc>
      </w:tr>
      <w:tr w:rsidR="003C02CA" w:rsidRPr="00390769" w14:paraId="5299C6F9" w14:textId="77777777" w:rsidTr="002F7BAE">
        <w:trPr>
          <w:trHeight w:val="542"/>
        </w:trPr>
        <w:tc>
          <w:tcPr>
            <w:tcW w:w="1696" w:type="dxa"/>
            <w:shd w:val="clear" w:color="auto" w:fill="auto"/>
            <w:vAlign w:val="center"/>
          </w:tcPr>
          <w:p w14:paraId="0E516672" w14:textId="77777777" w:rsidR="003C02CA" w:rsidRPr="00166830" w:rsidRDefault="003C02CA" w:rsidP="002F7BAE">
            <w:pPr>
              <w:tabs>
                <w:tab w:val="left" w:pos="0"/>
                <w:tab w:val="right" w:pos="1276"/>
              </w:tabs>
              <w:rPr>
                <w:rFonts w:cs="Arial"/>
                <w:szCs w:val="24"/>
              </w:rPr>
            </w:pPr>
            <w:r w:rsidRPr="00166830">
              <w:rPr>
                <w:rFonts w:cs="Arial"/>
                <w:szCs w:val="24"/>
              </w:rPr>
              <w:t>Appendix C</w:t>
            </w:r>
          </w:p>
        </w:tc>
        <w:tc>
          <w:tcPr>
            <w:tcW w:w="5783" w:type="dxa"/>
            <w:shd w:val="clear" w:color="auto" w:fill="auto"/>
            <w:vAlign w:val="center"/>
          </w:tcPr>
          <w:p w14:paraId="63D3E234" w14:textId="77777777" w:rsidR="003C02CA" w:rsidRPr="00390769" w:rsidRDefault="003C02CA" w:rsidP="002F7BAE">
            <w:pPr>
              <w:tabs>
                <w:tab w:val="left" w:pos="567"/>
                <w:tab w:val="left" w:pos="1134"/>
              </w:tabs>
              <w:rPr>
                <w:rFonts w:cs="Arial"/>
                <w:szCs w:val="24"/>
              </w:rPr>
            </w:pPr>
            <w:r w:rsidRPr="00390769">
              <w:rPr>
                <w:rFonts w:cs="Arial"/>
                <w:iCs/>
                <w:szCs w:val="24"/>
              </w:rPr>
              <w:t>Delivering Our Priorities - Chorley Council Medium Term Financial Strategy 202</w:t>
            </w:r>
            <w:r>
              <w:rPr>
                <w:rFonts w:cs="Arial"/>
                <w:iCs/>
                <w:szCs w:val="24"/>
              </w:rPr>
              <w:t>2</w:t>
            </w:r>
            <w:r w:rsidRPr="00390769">
              <w:rPr>
                <w:rFonts w:cs="Arial"/>
                <w:iCs/>
                <w:szCs w:val="24"/>
              </w:rPr>
              <w:t>/2</w:t>
            </w:r>
            <w:r>
              <w:rPr>
                <w:rFonts w:cs="Arial"/>
                <w:iCs/>
                <w:szCs w:val="24"/>
              </w:rPr>
              <w:t>3</w:t>
            </w:r>
            <w:r w:rsidRPr="00390769">
              <w:rPr>
                <w:rFonts w:cs="Arial"/>
                <w:iCs/>
                <w:szCs w:val="24"/>
              </w:rPr>
              <w:t xml:space="preserve"> to 202</w:t>
            </w:r>
            <w:r>
              <w:rPr>
                <w:rFonts w:cs="Arial"/>
                <w:iCs/>
                <w:szCs w:val="24"/>
              </w:rPr>
              <w:t>4</w:t>
            </w:r>
            <w:r w:rsidRPr="00390769">
              <w:rPr>
                <w:rFonts w:cs="Arial"/>
                <w:iCs/>
                <w:szCs w:val="24"/>
              </w:rPr>
              <w:t>/2</w:t>
            </w:r>
            <w:r>
              <w:rPr>
                <w:rFonts w:cs="Arial"/>
                <w:iCs/>
                <w:szCs w:val="24"/>
              </w:rPr>
              <w:t>5</w:t>
            </w:r>
          </w:p>
        </w:tc>
      </w:tr>
      <w:tr w:rsidR="003C02CA" w:rsidRPr="00390769" w14:paraId="731B83A1" w14:textId="77777777" w:rsidTr="002F7BAE">
        <w:trPr>
          <w:trHeight w:val="417"/>
        </w:trPr>
        <w:tc>
          <w:tcPr>
            <w:tcW w:w="1696" w:type="dxa"/>
            <w:shd w:val="clear" w:color="auto" w:fill="auto"/>
            <w:vAlign w:val="center"/>
          </w:tcPr>
          <w:p w14:paraId="70730F61"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D</w:t>
            </w:r>
          </w:p>
        </w:tc>
        <w:tc>
          <w:tcPr>
            <w:tcW w:w="5783" w:type="dxa"/>
            <w:shd w:val="clear" w:color="auto" w:fill="auto"/>
            <w:vAlign w:val="center"/>
          </w:tcPr>
          <w:p w14:paraId="0921DCAD" w14:textId="77777777" w:rsidR="003C02CA" w:rsidRPr="00390769" w:rsidRDefault="003C02CA" w:rsidP="002F7BAE">
            <w:pPr>
              <w:tabs>
                <w:tab w:val="left" w:pos="0"/>
                <w:tab w:val="left" w:pos="567"/>
                <w:tab w:val="left" w:pos="1134"/>
              </w:tabs>
              <w:ind w:right="141"/>
              <w:rPr>
                <w:rFonts w:cs="Arial"/>
                <w:iCs/>
                <w:szCs w:val="24"/>
              </w:rPr>
            </w:pPr>
            <w:r w:rsidRPr="00390769">
              <w:rPr>
                <w:rFonts w:cs="Arial"/>
                <w:szCs w:val="24"/>
              </w:rPr>
              <w:t xml:space="preserve">Cumulative Budget Deficit &amp; Budget </w:t>
            </w:r>
            <w:r w:rsidRPr="00C84E54">
              <w:rPr>
                <w:rFonts w:cs="Arial"/>
                <w:szCs w:val="24"/>
              </w:rPr>
              <w:t>Strategy 2021-22 to</w:t>
            </w:r>
            <w:r w:rsidRPr="00390769">
              <w:rPr>
                <w:rFonts w:cs="Arial"/>
                <w:szCs w:val="24"/>
              </w:rPr>
              <w:t xml:space="preserve"> 202</w:t>
            </w:r>
            <w:r>
              <w:rPr>
                <w:rFonts w:cs="Arial"/>
                <w:szCs w:val="24"/>
              </w:rPr>
              <w:t>4</w:t>
            </w:r>
            <w:r w:rsidRPr="00390769">
              <w:rPr>
                <w:rFonts w:cs="Arial"/>
                <w:szCs w:val="24"/>
              </w:rPr>
              <w:t>-2</w:t>
            </w:r>
            <w:r>
              <w:rPr>
                <w:rFonts w:cs="Arial"/>
                <w:szCs w:val="24"/>
              </w:rPr>
              <w:t>5</w:t>
            </w:r>
          </w:p>
        </w:tc>
      </w:tr>
      <w:tr w:rsidR="003C02CA" w:rsidRPr="00390769" w14:paraId="29323972" w14:textId="77777777" w:rsidTr="002F7BAE">
        <w:trPr>
          <w:trHeight w:val="417"/>
        </w:trPr>
        <w:tc>
          <w:tcPr>
            <w:tcW w:w="1696" w:type="dxa"/>
            <w:shd w:val="clear" w:color="auto" w:fill="auto"/>
            <w:vAlign w:val="center"/>
          </w:tcPr>
          <w:p w14:paraId="0195ACD5"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E</w:t>
            </w:r>
          </w:p>
        </w:tc>
        <w:tc>
          <w:tcPr>
            <w:tcW w:w="5783" w:type="dxa"/>
            <w:shd w:val="clear" w:color="auto" w:fill="auto"/>
            <w:vAlign w:val="center"/>
          </w:tcPr>
          <w:p w14:paraId="661405DF" w14:textId="77777777" w:rsidR="003C02CA" w:rsidRPr="00390769" w:rsidRDefault="003C02CA" w:rsidP="002F7BAE">
            <w:pPr>
              <w:tabs>
                <w:tab w:val="left" w:pos="0"/>
                <w:tab w:val="left" w:pos="567"/>
                <w:tab w:val="left" w:pos="1134"/>
              </w:tabs>
              <w:ind w:right="141"/>
              <w:rPr>
                <w:rFonts w:cs="Arial"/>
                <w:iCs/>
                <w:szCs w:val="24"/>
              </w:rPr>
            </w:pPr>
            <w:r>
              <w:rPr>
                <w:rFonts w:cs="Arial"/>
                <w:iCs/>
                <w:szCs w:val="24"/>
              </w:rPr>
              <w:t xml:space="preserve">Analysis of </w:t>
            </w:r>
            <w:r w:rsidRPr="00737E4E">
              <w:t xml:space="preserve">movement in the 2022/23 Budget </w:t>
            </w:r>
            <w:r>
              <w:t>from</w:t>
            </w:r>
            <w:r w:rsidRPr="00737E4E">
              <w:t xml:space="preserve"> the position </w:t>
            </w:r>
            <w:r>
              <w:t>approved by</w:t>
            </w:r>
            <w:r w:rsidRPr="00737E4E">
              <w:t xml:space="preserve"> Council in February 2021</w:t>
            </w:r>
          </w:p>
        </w:tc>
      </w:tr>
      <w:tr w:rsidR="003C02CA" w:rsidRPr="00390769" w14:paraId="06961273" w14:textId="77777777" w:rsidTr="002F7BAE">
        <w:trPr>
          <w:trHeight w:val="417"/>
        </w:trPr>
        <w:tc>
          <w:tcPr>
            <w:tcW w:w="1696" w:type="dxa"/>
            <w:shd w:val="clear" w:color="auto" w:fill="auto"/>
            <w:vAlign w:val="center"/>
          </w:tcPr>
          <w:p w14:paraId="06D28BE8"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F1</w:t>
            </w:r>
          </w:p>
        </w:tc>
        <w:tc>
          <w:tcPr>
            <w:tcW w:w="5783" w:type="dxa"/>
            <w:shd w:val="clear" w:color="auto" w:fill="auto"/>
            <w:vAlign w:val="center"/>
          </w:tcPr>
          <w:p w14:paraId="564DED51" w14:textId="77777777" w:rsidR="003C02CA" w:rsidRPr="00166830" w:rsidRDefault="003C02CA" w:rsidP="002F7BAE">
            <w:pPr>
              <w:tabs>
                <w:tab w:val="left" w:pos="567"/>
                <w:tab w:val="left" w:pos="1134"/>
              </w:tabs>
              <w:rPr>
                <w:rFonts w:cs="Arial"/>
                <w:szCs w:val="24"/>
              </w:rPr>
            </w:pPr>
            <w:r w:rsidRPr="00166830">
              <w:rPr>
                <w:rFonts w:cs="Arial"/>
                <w:szCs w:val="24"/>
              </w:rPr>
              <w:t>Capital Programme 2021/22 to 2024/25</w:t>
            </w:r>
          </w:p>
        </w:tc>
      </w:tr>
      <w:tr w:rsidR="003C02CA" w:rsidRPr="00390769" w14:paraId="1A58D097" w14:textId="77777777" w:rsidTr="002F7BAE">
        <w:trPr>
          <w:trHeight w:val="417"/>
        </w:trPr>
        <w:tc>
          <w:tcPr>
            <w:tcW w:w="1696" w:type="dxa"/>
            <w:shd w:val="clear" w:color="auto" w:fill="auto"/>
            <w:vAlign w:val="center"/>
          </w:tcPr>
          <w:p w14:paraId="464E66F8"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F2</w:t>
            </w:r>
          </w:p>
        </w:tc>
        <w:tc>
          <w:tcPr>
            <w:tcW w:w="5783" w:type="dxa"/>
            <w:shd w:val="clear" w:color="auto" w:fill="auto"/>
            <w:vAlign w:val="center"/>
          </w:tcPr>
          <w:p w14:paraId="48D123D7" w14:textId="77777777" w:rsidR="003C02CA" w:rsidRPr="00166830" w:rsidRDefault="003C02CA" w:rsidP="002F7BAE">
            <w:pPr>
              <w:tabs>
                <w:tab w:val="left" w:pos="567"/>
                <w:tab w:val="left" w:pos="1134"/>
              </w:tabs>
              <w:rPr>
                <w:rFonts w:cs="Arial"/>
                <w:szCs w:val="24"/>
              </w:rPr>
            </w:pPr>
            <w:r w:rsidRPr="00166830">
              <w:rPr>
                <w:rFonts w:cs="Arial"/>
                <w:szCs w:val="24"/>
              </w:rPr>
              <w:t>Capital Programme Financing 2021/22 to 2024/25</w:t>
            </w:r>
          </w:p>
        </w:tc>
      </w:tr>
      <w:tr w:rsidR="003C02CA" w:rsidRPr="00390769" w14:paraId="7EC42D01" w14:textId="77777777" w:rsidTr="002F7BAE">
        <w:trPr>
          <w:trHeight w:val="417"/>
        </w:trPr>
        <w:tc>
          <w:tcPr>
            <w:tcW w:w="1696" w:type="dxa"/>
            <w:shd w:val="clear" w:color="auto" w:fill="auto"/>
            <w:vAlign w:val="center"/>
          </w:tcPr>
          <w:p w14:paraId="5C46F065"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F3</w:t>
            </w:r>
          </w:p>
        </w:tc>
        <w:tc>
          <w:tcPr>
            <w:tcW w:w="5783" w:type="dxa"/>
            <w:shd w:val="clear" w:color="auto" w:fill="auto"/>
            <w:vAlign w:val="center"/>
          </w:tcPr>
          <w:p w14:paraId="28812DBB" w14:textId="77777777" w:rsidR="003C02CA" w:rsidRPr="00166830" w:rsidRDefault="003C02CA" w:rsidP="002F7BAE">
            <w:pPr>
              <w:tabs>
                <w:tab w:val="left" w:pos="567"/>
                <w:tab w:val="left" w:pos="1134"/>
              </w:tabs>
              <w:rPr>
                <w:rFonts w:cs="Arial"/>
                <w:szCs w:val="24"/>
              </w:rPr>
            </w:pPr>
            <w:r w:rsidRPr="00166830">
              <w:rPr>
                <w:rFonts w:cs="Arial"/>
                <w:iCs/>
                <w:szCs w:val="24"/>
              </w:rPr>
              <w:t>Developer's Contributions 2017/18 to 2024/25</w:t>
            </w:r>
          </w:p>
        </w:tc>
      </w:tr>
      <w:tr w:rsidR="003C02CA" w:rsidRPr="00390769" w14:paraId="29C4B781" w14:textId="77777777" w:rsidTr="002F7BAE">
        <w:trPr>
          <w:trHeight w:val="417"/>
        </w:trPr>
        <w:tc>
          <w:tcPr>
            <w:tcW w:w="1696" w:type="dxa"/>
            <w:shd w:val="clear" w:color="auto" w:fill="auto"/>
            <w:vAlign w:val="center"/>
          </w:tcPr>
          <w:p w14:paraId="46FF89E8"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G</w:t>
            </w:r>
          </w:p>
        </w:tc>
        <w:tc>
          <w:tcPr>
            <w:tcW w:w="5783" w:type="dxa"/>
            <w:shd w:val="clear" w:color="auto" w:fill="auto"/>
            <w:vAlign w:val="center"/>
          </w:tcPr>
          <w:p w14:paraId="545A5D93" w14:textId="77777777" w:rsidR="003C02CA" w:rsidRPr="00390769" w:rsidRDefault="003C02CA" w:rsidP="002F7BAE">
            <w:pPr>
              <w:tabs>
                <w:tab w:val="left" w:pos="0"/>
                <w:tab w:val="left" w:pos="567"/>
                <w:tab w:val="left" w:pos="1134"/>
              </w:tabs>
              <w:ind w:right="141"/>
              <w:rPr>
                <w:rFonts w:cs="Arial"/>
                <w:iCs/>
                <w:szCs w:val="24"/>
              </w:rPr>
            </w:pPr>
            <w:r w:rsidRPr="00390769">
              <w:rPr>
                <w:rFonts w:cs="Arial"/>
                <w:iCs/>
                <w:szCs w:val="24"/>
              </w:rPr>
              <w:t>Capital Strategy</w:t>
            </w:r>
          </w:p>
        </w:tc>
      </w:tr>
      <w:tr w:rsidR="003C02CA" w:rsidRPr="00390769" w14:paraId="4CE272DA" w14:textId="77777777" w:rsidTr="002F7BAE">
        <w:trPr>
          <w:trHeight w:val="417"/>
        </w:trPr>
        <w:tc>
          <w:tcPr>
            <w:tcW w:w="1696" w:type="dxa"/>
            <w:shd w:val="clear" w:color="auto" w:fill="auto"/>
            <w:vAlign w:val="center"/>
          </w:tcPr>
          <w:p w14:paraId="7AC0A74D"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H</w:t>
            </w:r>
          </w:p>
        </w:tc>
        <w:tc>
          <w:tcPr>
            <w:tcW w:w="5783" w:type="dxa"/>
            <w:shd w:val="clear" w:color="auto" w:fill="auto"/>
            <w:vAlign w:val="center"/>
          </w:tcPr>
          <w:p w14:paraId="4BDF3433" w14:textId="77777777" w:rsidR="003C02CA" w:rsidRPr="00390769" w:rsidRDefault="003C02CA" w:rsidP="002F7BAE">
            <w:pPr>
              <w:tabs>
                <w:tab w:val="left" w:pos="0"/>
                <w:tab w:val="left" w:pos="567"/>
                <w:tab w:val="left" w:pos="1134"/>
              </w:tabs>
              <w:ind w:right="141"/>
              <w:rPr>
                <w:rFonts w:cs="Arial"/>
                <w:iCs/>
                <w:szCs w:val="24"/>
              </w:rPr>
            </w:pPr>
            <w:r w:rsidRPr="00390769">
              <w:rPr>
                <w:rFonts w:cs="Arial"/>
                <w:iCs/>
                <w:szCs w:val="24"/>
              </w:rPr>
              <w:t>Treasury Management Strategy 202</w:t>
            </w:r>
            <w:r>
              <w:rPr>
                <w:rFonts w:cs="Arial"/>
                <w:iCs/>
                <w:szCs w:val="24"/>
              </w:rPr>
              <w:t>2</w:t>
            </w:r>
            <w:r w:rsidRPr="00390769">
              <w:rPr>
                <w:rFonts w:cs="Arial"/>
                <w:iCs/>
                <w:szCs w:val="24"/>
              </w:rPr>
              <w:t>/2</w:t>
            </w:r>
            <w:r>
              <w:rPr>
                <w:rFonts w:cs="Arial"/>
                <w:iCs/>
                <w:szCs w:val="24"/>
              </w:rPr>
              <w:t>3</w:t>
            </w:r>
            <w:r w:rsidRPr="00390769">
              <w:rPr>
                <w:rFonts w:cs="Arial"/>
                <w:iCs/>
                <w:szCs w:val="24"/>
              </w:rPr>
              <w:t xml:space="preserve"> to 202</w:t>
            </w:r>
            <w:r>
              <w:rPr>
                <w:rFonts w:cs="Arial"/>
                <w:iCs/>
                <w:szCs w:val="24"/>
              </w:rPr>
              <w:t>4</w:t>
            </w:r>
            <w:r w:rsidRPr="00390769">
              <w:rPr>
                <w:rFonts w:cs="Arial"/>
                <w:iCs/>
                <w:szCs w:val="24"/>
              </w:rPr>
              <w:t>/2</w:t>
            </w:r>
            <w:r>
              <w:rPr>
                <w:rFonts w:cs="Arial"/>
                <w:iCs/>
                <w:szCs w:val="24"/>
              </w:rPr>
              <w:t>5</w:t>
            </w:r>
          </w:p>
        </w:tc>
      </w:tr>
      <w:tr w:rsidR="003C02CA" w:rsidRPr="00390769" w14:paraId="0481840C" w14:textId="77777777" w:rsidTr="002F7BAE">
        <w:trPr>
          <w:trHeight w:val="567"/>
        </w:trPr>
        <w:tc>
          <w:tcPr>
            <w:tcW w:w="1696" w:type="dxa"/>
            <w:shd w:val="clear" w:color="auto" w:fill="auto"/>
            <w:vAlign w:val="center"/>
          </w:tcPr>
          <w:p w14:paraId="265CE55F"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H1</w:t>
            </w:r>
          </w:p>
        </w:tc>
        <w:tc>
          <w:tcPr>
            <w:tcW w:w="5783" w:type="dxa"/>
            <w:shd w:val="clear" w:color="auto" w:fill="auto"/>
            <w:vAlign w:val="center"/>
          </w:tcPr>
          <w:p w14:paraId="54D82EA0" w14:textId="77777777" w:rsidR="003C02CA" w:rsidRPr="00390769" w:rsidRDefault="003C02CA" w:rsidP="002F7BAE">
            <w:pPr>
              <w:tabs>
                <w:tab w:val="left" w:pos="0"/>
                <w:tab w:val="left" w:pos="567"/>
                <w:tab w:val="left" w:pos="1134"/>
              </w:tabs>
              <w:ind w:right="141"/>
              <w:rPr>
                <w:rFonts w:cs="Arial"/>
                <w:iCs/>
                <w:szCs w:val="24"/>
              </w:rPr>
            </w:pPr>
            <w:r w:rsidRPr="00390769">
              <w:rPr>
                <w:rFonts w:cs="Arial"/>
                <w:iCs/>
                <w:szCs w:val="24"/>
              </w:rPr>
              <w:t>Advice of Treasury Management Consultants</w:t>
            </w:r>
          </w:p>
        </w:tc>
      </w:tr>
      <w:tr w:rsidR="003C02CA" w:rsidRPr="00390769" w14:paraId="6686258E" w14:textId="77777777" w:rsidTr="002F7BAE">
        <w:trPr>
          <w:trHeight w:val="417"/>
        </w:trPr>
        <w:tc>
          <w:tcPr>
            <w:tcW w:w="1696" w:type="dxa"/>
            <w:shd w:val="clear" w:color="auto" w:fill="auto"/>
            <w:vAlign w:val="center"/>
          </w:tcPr>
          <w:p w14:paraId="77B3849E"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I</w:t>
            </w:r>
          </w:p>
        </w:tc>
        <w:tc>
          <w:tcPr>
            <w:tcW w:w="5783" w:type="dxa"/>
            <w:shd w:val="clear" w:color="auto" w:fill="auto"/>
            <w:vAlign w:val="center"/>
          </w:tcPr>
          <w:p w14:paraId="3CF38D72" w14:textId="77777777" w:rsidR="003C02CA" w:rsidRPr="00390769" w:rsidRDefault="003C02CA" w:rsidP="002F7BAE">
            <w:pPr>
              <w:tabs>
                <w:tab w:val="left" w:pos="0"/>
                <w:tab w:val="left" w:pos="567"/>
                <w:tab w:val="left" w:pos="1134"/>
              </w:tabs>
              <w:ind w:right="141"/>
              <w:rPr>
                <w:rFonts w:cs="Arial"/>
                <w:iCs/>
                <w:szCs w:val="24"/>
              </w:rPr>
            </w:pPr>
            <w:r w:rsidRPr="00390769">
              <w:rPr>
                <w:rFonts w:cs="Arial"/>
                <w:szCs w:val="24"/>
              </w:rPr>
              <w:t>Pay Policy 202</w:t>
            </w:r>
            <w:r>
              <w:rPr>
                <w:rFonts w:cs="Arial"/>
                <w:szCs w:val="24"/>
              </w:rPr>
              <w:t>2</w:t>
            </w:r>
            <w:r w:rsidRPr="00390769">
              <w:rPr>
                <w:rFonts w:cs="Arial"/>
                <w:szCs w:val="24"/>
              </w:rPr>
              <w:t>/2</w:t>
            </w:r>
            <w:r>
              <w:rPr>
                <w:rFonts w:cs="Arial"/>
                <w:szCs w:val="24"/>
              </w:rPr>
              <w:t>3</w:t>
            </w:r>
          </w:p>
        </w:tc>
      </w:tr>
      <w:tr w:rsidR="003C02CA" w:rsidRPr="00390769" w14:paraId="69168591" w14:textId="77777777" w:rsidTr="002F7BAE">
        <w:trPr>
          <w:trHeight w:val="417"/>
        </w:trPr>
        <w:tc>
          <w:tcPr>
            <w:tcW w:w="1696" w:type="dxa"/>
            <w:shd w:val="clear" w:color="auto" w:fill="auto"/>
            <w:vAlign w:val="center"/>
          </w:tcPr>
          <w:p w14:paraId="435B9BF1" w14:textId="77777777" w:rsidR="003C02CA" w:rsidRPr="00166830" w:rsidRDefault="003C02CA" w:rsidP="002F7BAE">
            <w:pPr>
              <w:tabs>
                <w:tab w:val="left" w:pos="0"/>
                <w:tab w:val="left" w:pos="567"/>
                <w:tab w:val="right" w:pos="851"/>
                <w:tab w:val="left" w:pos="1134"/>
              </w:tabs>
              <w:ind w:right="141"/>
              <w:rPr>
                <w:rFonts w:cs="Arial"/>
                <w:iCs/>
                <w:szCs w:val="24"/>
              </w:rPr>
            </w:pPr>
            <w:r w:rsidRPr="00166830">
              <w:rPr>
                <w:rFonts w:cs="Arial"/>
                <w:iCs/>
                <w:szCs w:val="24"/>
              </w:rPr>
              <w:t>Appendix J</w:t>
            </w:r>
          </w:p>
        </w:tc>
        <w:tc>
          <w:tcPr>
            <w:tcW w:w="5783" w:type="dxa"/>
            <w:shd w:val="clear" w:color="auto" w:fill="auto"/>
            <w:vAlign w:val="center"/>
          </w:tcPr>
          <w:p w14:paraId="2C7A40D9" w14:textId="77777777" w:rsidR="003C02CA" w:rsidRPr="00390769" w:rsidRDefault="003C02CA" w:rsidP="002F7BAE">
            <w:pPr>
              <w:tabs>
                <w:tab w:val="left" w:pos="0"/>
                <w:tab w:val="left" w:pos="567"/>
                <w:tab w:val="left" w:pos="1134"/>
              </w:tabs>
              <w:ind w:right="141"/>
              <w:rPr>
                <w:rFonts w:cs="Arial"/>
                <w:iCs/>
                <w:szCs w:val="24"/>
              </w:rPr>
            </w:pPr>
            <w:r w:rsidRPr="00390769">
              <w:rPr>
                <w:rFonts w:cs="Arial"/>
                <w:iCs/>
                <w:szCs w:val="24"/>
              </w:rPr>
              <w:t>Budget Consultation 202</w:t>
            </w:r>
            <w:r>
              <w:rPr>
                <w:rFonts w:cs="Arial"/>
                <w:iCs/>
                <w:szCs w:val="24"/>
              </w:rPr>
              <w:t>2</w:t>
            </w:r>
            <w:r w:rsidRPr="00390769">
              <w:rPr>
                <w:rFonts w:cs="Arial"/>
                <w:iCs/>
                <w:szCs w:val="24"/>
              </w:rPr>
              <w:t>/2</w:t>
            </w:r>
            <w:r>
              <w:rPr>
                <w:rFonts w:cs="Arial"/>
                <w:iCs/>
                <w:szCs w:val="24"/>
              </w:rPr>
              <w:t>3</w:t>
            </w:r>
          </w:p>
        </w:tc>
      </w:tr>
      <w:tr w:rsidR="003C02CA" w:rsidRPr="00BF0BB3" w14:paraId="167BC109" w14:textId="77777777" w:rsidTr="002F7BAE">
        <w:trPr>
          <w:trHeight w:val="417"/>
        </w:trPr>
        <w:tc>
          <w:tcPr>
            <w:tcW w:w="1696" w:type="dxa"/>
            <w:shd w:val="clear" w:color="auto" w:fill="auto"/>
            <w:vAlign w:val="center"/>
          </w:tcPr>
          <w:p w14:paraId="200F097C" w14:textId="77777777" w:rsidR="003C02CA" w:rsidRPr="00BF0BB3" w:rsidRDefault="003C02CA" w:rsidP="002F7BAE">
            <w:pPr>
              <w:tabs>
                <w:tab w:val="left" w:pos="0"/>
                <w:tab w:val="left" w:pos="567"/>
                <w:tab w:val="right" w:pos="851"/>
                <w:tab w:val="left" w:pos="1134"/>
              </w:tabs>
              <w:ind w:right="141"/>
              <w:rPr>
                <w:rFonts w:cs="Arial"/>
                <w:iCs/>
                <w:szCs w:val="24"/>
              </w:rPr>
            </w:pPr>
            <w:r w:rsidRPr="00BF0BB3">
              <w:rPr>
                <w:rFonts w:cs="Arial"/>
                <w:iCs/>
                <w:szCs w:val="24"/>
              </w:rPr>
              <w:t xml:space="preserve">Appendix </w:t>
            </w:r>
            <w:r>
              <w:rPr>
                <w:rFonts w:cs="Arial"/>
                <w:iCs/>
                <w:szCs w:val="24"/>
              </w:rPr>
              <w:t>K</w:t>
            </w:r>
          </w:p>
        </w:tc>
        <w:tc>
          <w:tcPr>
            <w:tcW w:w="5783" w:type="dxa"/>
            <w:shd w:val="clear" w:color="auto" w:fill="auto"/>
            <w:vAlign w:val="center"/>
          </w:tcPr>
          <w:p w14:paraId="7BEB8C8C" w14:textId="77777777" w:rsidR="003C02CA" w:rsidRPr="00BF0BB3" w:rsidRDefault="003C02CA" w:rsidP="002F7BAE">
            <w:pPr>
              <w:tabs>
                <w:tab w:val="left" w:pos="0"/>
                <w:tab w:val="left" w:pos="567"/>
                <w:tab w:val="left" w:pos="1134"/>
              </w:tabs>
              <w:ind w:right="141"/>
              <w:rPr>
                <w:rFonts w:cs="Arial"/>
                <w:iCs/>
                <w:szCs w:val="24"/>
              </w:rPr>
            </w:pPr>
            <w:r w:rsidRPr="00BF0BB3">
              <w:rPr>
                <w:rFonts w:cs="Arial"/>
                <w:iCs/>
                <w:szCs w:val="24"/>
              </w:rPr>
              <w:t>Assessing the Impact of 2022/23 Budget Proposals</w:t>
            </w:r>
          </w:p>
        </w:tc>
      </w:tr>
    </w:tbl>
    <w:p w14:paraId="24A93895" w14:textId="77777777" w:rsidR="003C02CA" w:rsidRPr="00CA0113" w:rsidRDefault="003C02CA" w:rsidP="003C02CA">
      <w:pPr>
        <w:pStyle w:val="ListParagraph"/>
        <w:pBdr>
          <w:top w:val="single" w:sz="2" w:space="1" w:color="FFFFFF"/>
          <w:left w:val="single" w:sz="2" w:space="0" w:color="FFFFFF"/>
          <w:bottom w:val="single" w:sz="2" w:space="1" w:color="FFFFFF"/>
          <w:right w:val="single" w:sz="2" w:space="4" w:color="FFFFFF"/>
        </w:pBdr>
        <w:tabs>
          <w:tab w:val="left" w:pos="1134"/>
        </w:tabs>
        <w:spacing w:after="100" w:afterAutospacing="1" w:line="240" w:lineRule="auto"/>
        <w:ind w:left="567"/>
        <w:jc w:val="both"/>
        <w:rPr>
          <w:rFonts w:cs="Arial"/>
          <w:b/>
          <w:szCs w:val="24"/>
        </w:rPr>
      </w:pPr>
    </w:p>
    <w:p w14:paraId="0AEC7C75" w14:textId="77777777" w:rsidR="003C02CA" w:rsidRDefault="003C02CA" w:rsidP="003C02CA">
      <w:pPr>
        <w:pStyle w:val="ListParagraph"/>
        <w:pBdr>
          <w:top w:val="single" w:sz="2" w:space="1" w:color="FFFFFF"/>
          <w:left w:val="single" w:sz="2" w:space="0" w:color="FFFFFF"/>
          <w:bottom w:val="single" w:sz="2" w:space="0" w:color="FFFFFF"/>
          <w:right w:val="single" w:sz="2" w:space="4" w:color="FFFFFF"/>
        </w:pBdr>
        <w:spacing w:after="100" w:afterAutospacing="1"/>
        <w:ind w:left="567"/>
        <w:rPr>
          <w:sz w:val="20"/>
          <w:highlight w:val="yellow"/>
        </w:rPr>
      </w:pPr>
    </w:p>
    <w:p w14:paraId="2D6F3D31" w14:textId="77777777" w:rsidR="003C02CA" w:rsidRDefault="003C02CA" w:rsidP="003C02CA">
      <w:pPr>
        <w:pStyle w:val="ListParagraph"/>
        <w:pBdr>
          <w:top w:val="single" w:sz="2" w:space="1" w:color="FFFFFF"/>
          <w:left w:val="single" w:sz="2" w:space="0" w:color="FFFFFF"/>
          <w:bottom w:val="single" w:sz="2" w:space="0" w:color="FFFFFF"/>
          <w:right w:val="single" w:sz="2" w:space="4" w:color="FFFFFF"/>
        </w:pBdr>
        <w:spacing w:after="100" w:afterAutospacing="1"/>
        <w:ind w:left="567"/>
        <w:rPr>
          <w:sz w:val="20"/>
          <w:highlight w:val="yellow"/>
        </w:rPr>
      </w:pPr>
    </w:p>
    <w:p w14:paraId="1F8B4C7B" w14:textId="77777777" w:rsidR="003C02CA" w:rsidRPr="00CA0113" w:rsidRDefault="003C02CA" w:rsidP="003C02CA">
      <w:pPr>
        <w:pStyle w:val="ListParagraph"/>
        <w:pBdr>
          <w:top w:val="single" w:sz="2" w:space="1" w:color="FFFFFF"/>
          <w:left w:val="single" w:sz="2" w:space="0" w:color="FFFFFF"/>
          <w:bottom w:val="single" w:sz="2" w:space="0" w:color="FFFFFF"/>
          <w:right w:val="single" w:sz="2" w:space="4" w:color="FFFFFF"/>
        </w:pBdr>
        <w:spacing w:after="100" w:afterAutospacing="1"/>
        <w:ind w:left="567"/>
        <w:rPr>
          <w:sz w:val="20"/>
          <w:highlight w:val="yellow"/>
        </w:rPr>
      </w:pPr>
    </w:p>
    <w:p w14:paraId="3E01CFB1"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66899E4D"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488AEA7B"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145249DA"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33E7E984"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62F64511"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1CC48E65" w14:textId="77777777" w:rsidR="003C02CA" w:rsidRPr="00CA0113" w:rsidRDefault="003C02CA" w:rsidP="003C02CA">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3B977DC7" w14:textId="77777777" w:rsidR="003C02CA" w:rsidRPr="00CA0113" w:rsidRDefault="003C02CA" w:rsidP="003C02CA">
      <w:pPr>
        <w:rPr>
          <w:b/>
          <w:iCs/>
          <w:highlight w:val="yellow"/>
        </w:rPr>
      </w:pPr>
    </w:p>
    <w:p w14:paraId="3DC100E7" w14:textId="77777777" w:rsidR="003C02CA" w:rsidRPr="00CA0113" w:rsidRDefault="003C02CA" w:rsidP="003C02CA">
      <w:pPr>
        <w:rPr>
          <w:b/>
          <w:iCs/>
          <w:highlight w:val="yellow"/>
        </w:rPr>
      </w:pPr>
    </w:p>
    <w:p w14:paraId="304C6DF1" w14:textId="77777777" w:rsidR="003C02CA" w:rsidRPr="00CA0113" w:rsidRDefault="003C02CA" w:rsidP="003C02CA">
      <w:pPr>
        <w:rPr>
          <w:b/>
          <w:iCs/>
          <w:highlight w:val="yellow"/>
        </w:rPr>
      </w:pPr>
    </w:p>
    <w:p w14:paraId="7F229016" w14:textId="77777777" w:rsidR="003C02CA" w:rsidRPr="00CA0113" w:rsidRDefault="003C02CA" w:rsidP="003C02CA">
      <w:pPr>
        <w:rPr>
          <w:b/>
          <w:iCs/>
          <w:highlight w:val="yellow"/>
        </w:rPr>
      </w:pPr>
    </w:p>
    <w:p w14:paraId="6BFE9E84" w14:textId="77777777" w:rsidR="003C02CA" w:rsidRPr="00CA0113" w:rsidRDefault="003C02CA" w:rsidP="003C02CA">
      <w:pPr>
        <w:rPr>
          <w:b/>
          <w:iCs/>
          <w:highlight w:val="yellow"/>
        </w:rPr>
      </w:pPr>
    </w:p>
    <w:p w14:paraId="221417FB" w14:textId="77777777" w:rsidR="003C02CA" w:rsidRPr="00CA0113" w:rsidRDefault="003C02CA" w:rsidP="003C02CA">
      <w:pPr>
        <w:rPr>
          <w:b/>
          <w:iCs/>
          <w:highlight w:val="yellow"/>
        </w:rPr>
      </w:pPr>
    </w:p>
    <w:p w14:paraId="77E8AC8E" w14:textId="77777777" w:rsidR="003C02CA" w:rsidRPr="00CA0113" w:rsidRDefault="003C02CA" w:rsidP="003C02CA">
      <w:pPr>
        <w:rPr>
          <w:b/>
          <w:iCs/>
          <w:highlight w:val="yellow"/>
        </w:rPr>
      </w:pPr>
    </w:p>
    <w:p w14:paraId="3430C284" w14:textId="77777777" w:rsidR="003C02CA" w:rsidRPr="00CA0113" w:rsidRDefault="003C02CA" w:rsidP="003C02CA">
      <w:pPr>
        <w:rPr>
          <w:b/>
          <w:iCs/>
          <w:highlight w:val="yellow"/>
        </w:rPr>
      </w:pPr>
    </w:p>
    <w:p w14:paraId="38A9E281" w14:textId="77777777" w:rsidR="003C02CA" w:rsidRPr="005C459D" w:rsidRDefault="003C02CA">
      <w:pPr>
        <w:rPr>
          <w:rFonts w:cstheme="minorHAnsi"/>
          <w:bCs/>
          <w:color w:val="000000" w:themeColor="text1"/>
          <w:lang w:val="en-US"/>
        </w:rPr>
      </w:pPr>
    </w:p>
    <w:sectPr w:rsidR="003C02CA" w:rsidRPr="005C459D" w:rsidSect="00D4431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34E0" w14:textId="77777777" w:rsidR="00440A66" w:rsidRDefault="00741C4E">
      <w:pPr>
        <w:spacing w:after="0" w:line="240" w:lineRule="auto"/>
      </w:pPr>
      <w:r>
        <w:separator/>
      </w:r>
    </w:p>
  </w:endnote>
  <w:endnote w:type="continuationSeparator" w:id="0">
    <w:p w14:paraId="74A534E2" w14:textId="77777777" w:rsidR="00440A66" w:rsidRDefault="0074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C15B" w14:textId="77777777" w:rsidR="003C02CA" w:rsidRDefault="003C02CA">
    <w:pPr>
      <w:pStyle w:val="Footer"/>
    </w:pPr>
    <w:r>
      <w:rPr>
        <w:noProof/>
      </w:rPr>
      <mc:AlternateContent>
        <mc:Choice Requires="wps">
          <w:drawing>
            <wp:anchor distT="0" distB="0" distL="114300" distR="114300" simplePos="0" relativeHeight="251662336" behindDoc="0" locked="0" layoutInCell="1" allowOverlap="1" wp14:anchorId="1B8F9BDE" wp14:editId="6F5B4C71">
              <wp:simplePos x="0" y="0"/>
              <wp:positionH relativeFrom="column">
                <wp:posOffset>-895350</wp:posOffset>
              </wp:positionH>
              <wp:positionV relativeFrom="paragraph">
                <wp:posOffset>222250</wp:posOffset>
              </wp:positionV>
              <wp:extent cx="1064895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48950" cy="381000"/>
                      </a:xfrm>
                      <a:prstGeom prst="rect">
                        <a:avLst/>
                      </a:prstGeom>
                      <a:solidFill>
                        <a:schemeClr val="lt1"/>
                      </a:solidFill>
                      <a:ln w="6350">
                        <a:noFill/>
                      </a:ln>
                    </wps:spPr>
                    <wps:txbx>
                      <w:txbxContent>
                        <w:p w14:paraId="4D6EA3BD" w14:textId="77777777" w:rsidR="003C02CA" w:rsidRDefault="003C0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8F9BDE" id="_x0000_t202" coordsize="21600,21600" o:spt="202" path="m,l,21600r21600,l21600,xe">
              <v:stroke joinstyle="miter"/>
              <v:path gradientshapeok="t" o:connecttype="rect"/>
            </v:shapetype>
            <v:shape id="Text Box 9" o:spid="_x0000_s1031" type="#_x0000_t202" style="position:absolute;margin-left:-70.5pt;margin-top:17.5pt;width:838.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" fillcolor="white [3201]" stroked="f" strokeweight=".5pt">
              <v:textbox>
                <w:txbxContent>
                  <w:p w14:paraId="4D6EA3BD" w14:textId="77777777" w:rsidR="003C02CA" w:rsidRDefault="003C02CA"/>
                </w:txbxContent>
              </v:textbox>
            </v:shape>
          </w:pict>
        </mc:Fallback>
      </mc:AlternateContent>
    </w:r>
    <w:r>
      <w:rPr>
        <w:noProof/>
      </w:rPr>
      <w:drawing>
        <wp:anchor distT="0" distB="0" distL="114300" distR="114300" simplePos="0" relativeHeight="251661312" behindDoc="0" locked="0" layoutInCell="1" allowOverlap="1" wp14:anchorId="1C907F1E" wp14:editId="6E69634F">
          <wp:simplePos x="0" y="0"/>
          <wp:positionH relativeFrom="column">
            <wp:posOffset>-314325</wp:posOffset>
          </wp:positionH>
          <wp:positionV relativeFrom="paragraph">
            <wp:posOffset>3131821</wp:posOffset>
          </wp:positionV>
          <wp:extent cx="13649378" cy="285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9378"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1" layoutInCell="1" allowOverlap="0" wp14:anchorId="5C13BD7E" wp14:editId="7C5964E9">
          <wp:simplePos x="0" y="0"/>
          <wp:positionH relativeFrom="margin">
            <wp:align>right</wp:align>
          </wp:positionH>
          <wp:positionV relativeFrom="topMargin">
            <wp:posOffset>200025</wp:posOffset>
          </wp:positionV>
          <wp:extent cx="1496060" cy="661670"/>
          <wp:effectExtent l="0" t="0" r="8890" b="508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2">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34DC" w14:textId="77777777" w:rsidR="00440A66" w:rsidRDefault="00741C4E">
      <w:pPr>
        <w:spacing w:after="0" w:line="240" w:lineRule="auto"/>
      </w:pPr>
      <w:r>
        <w:separator/>
      </w:r>
    </w:p>
  </w:footnote>
  <w:footnote w:type="continuationSeparator" w:id="0">
    <w:p w14:paraId="74A534DE" w14:textId="77777777" w:rsidR="00440A66" w:rsidRDefault="00741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D594" w14:textId="77777777" w:rsidR="003C02CA" w:rsidRDefault="003C02CA">
    <w:pPr>
      <w:pStyle w:val="Header"/>
    </w:pPr>
    <w:r>
      <w:rPr>
        <w:noProof/>
      </w:rPr>
      <w:drawing>
        <wp:inline distT="0" distB="0" distL="0" distR="0" wp14:anchorId="7CA64306" wp14:editId="116645C7">
          <wp:extent cx="6657975" cy="346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6304" cy="3532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34DA" w14:textId="77777777" w:rsidR="00CF42B2" w:rsidRDefault="00AB3851">
    <w:pPr>
      <w:pStyle w:val="Header"/>
    </w:pPr>
  </w:p>
  <w:p w14:paraId="74A534DB" w14:textId="77777777" w:rsidR="00CF42B2" w:rsidRDefault="00AB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6AAD"/>
    <w:multiLevelType w:val="hybridMultilevel"/>
    <w:tmpl w:val="8A382930"/>
    <w:lvl w:ilvl="0" w:tplc="8AD237F2">
      <w:start w:val="1"/>
      <w:numFmt w:val="bullet"/>
      <w:lvlText w:val=""/>
      <w:lvlJc w:val="left"/>
      <w:pPr>
        <w:tabs>
          <w:tab w:val="num" w:pos="1134"/>
        </w:tabs>
        <w:ind w:left="1134" w:hanging="567"/>
      </w:pPr>
      <w:rPr>
        <w:rFonts w:ascii="Symbol" w:hAnsi="Symbol" w:hint="default"/>
        <w:b w:val="0"/>
        <w:i w:val="0"/>
        <w:iCs/>
        <w:color w:val="7FC444"/>
      </w:rPr>
    </w:lvl>
    <w:lvl w:ilvl="1" w:tplc="08090001">
      <w:start w:val="1"/>
      <w:numFmt w:val="bullet"/>
      <w:lvlText w:val=""/>
      <w:lvlJc w:val="left"/>
      <w:pPr>
        <w:tabs>
          <w:tab w:val="num" w:pos="2007"/>
        </w:tabs>
        <w:ind w:left="2007" w:hanging="360"/>
      </w:pPr>
      <w:rPr>
        <w:rFonts w:ascii="Symbol" w:hAnsi="Symbol"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15:restartNumberingAfterBreak="0">
    <w:nsid w:val="185B06D2"/>
    <w:multiLevelType w:val="hybridMultilevel"/>
    <w:tmpl w:val="86D05DDA"/>
    <w:lvl w:ilvl="0" w:tplc="093A5986">
      <w:start w:val="1"/>
      <w:numFmt w:val="decimal"/>
      <w:lvlText w:val="%1."/>
      <w:lvlJc w:val="left"/>
      <w:pPr>
        <w:tabs>
          <w:tab w:val="num" w:pos="567"/>
        </w:tabs>
        <w:ind w:left="567" w:hanging="567"/>
      </w:pPr>
      <w:rPr>
        <w:rFonts w:hint="default"/>
        <w:b w:val="0"/>
        <w:i w:val="0"/>
        <w:iCs/>
        <w:color w:val="auto"/>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5444A3"/>
    <w:multiLevelType w:val="hybridMultilevel"/>
    <w:tmpl w:val="0BD8B86C"/>
    <w:lvl w:ilvl="0" w:tplc="08090001">
      <w:start w:val="1"/>
      <w:numFmt w:val="bullet"/>
      <w:lvlText w:val=""/>
      <w:lvlJc w:val="left"/>
      <w:pPr>
        <w:ind w:left="1080" w:hanging="360"/>
      </w:pPr>
      <w:rPr>
        <w:rFonts w:ascii="Symbol" w:hAnsi="Symbol" w:hint="default"/>
      </w:rPr>
    </w:lvl>
    <w:lvl w:ilvl="1" w:tplc="8AD237F2">
      <w:start w:val="1"/>
      <w:numFmt w:val="bullet"/>
      <w:lvlText w:val=""/>
      <w:lvlJc w:val="left"/>
      <w:pPr>
        <w:ind w:left="1800" w:hanging="360"/>
      </w:pPr>
      <w:rPr>
        <w:rFonts w:ascii="Symbol" w:hAnsi="Symbol" w:hint="default"/>
        <w:color w:val="7FC44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6332BA"/>
    <w:multiLevelType w:val="hybridMultilevel"/>
    <w:tmpl w:val="E678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26044"/>
    <w:multiLevelType w:val="hybridMultilevel"/>
    <w:tmpl w:val="CC88F1F4"/>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682B4B"/>
    <w:multiLevelType w:val="hybridMultilevel"/>
    <w:tmpl w:val="27D0AF2A"/>
    <w:lvl w:ilvl="0" w:tplc="780CDFCA">
      <w:start w:val="1"/>
      <w:numFmt w:val="bullet"/>
      <w:lvlText w:val=""/>
      <w:lvlJc w:val="left"/>
      <w:pPr>
        <w:ind w:left="990" w:hanging="360"/>
      </w:pPr>
      <w:rPr>
        <w:rFonts w:ascii="Symbol" w:hAnsi="Symbol" w:hint="default"/>
      </w:rPr>
    </w:lvl>
    <w:lvl w:ilvl="1" w:tplc="0D88A018" w:tentative="1">
      <w:start w:val="1"/>
      <w:numFmt w:val="bullet"/>
      <w:lvlText w:val="o"/>
      <w:lvlJc w:val="left"/>
      <w:pPr>
        <w:ind w:left="1710" w:hanging="360"/>
      </w:pPr>
      <w:rPr>
        <w:rFonts w:ascii="Courier New" w:hAnsi="Courier New" w:cs="Courier New" w:hint="default"/>
      </w:rPr>
    </w:lvl>
    <w:lvl w:ilvl="2" w:tplc="43185F92" w:tentative="1">
      <w:start w:val="1"/>
      <w:numFmt w:val="bullet"/>
      <w:lvlText w:val=""/>
      <w:lvlJc w:val="left"/>
      <w:pPr>
        <w:ind w:left="2430" w:hanging="360"/>
      </w:pPr>
      <w:rPr>
        <w:rFonts w:ascii="Wingdings" w:hAnsi="Wingdings" w:hint="default"/>
      </w:rPr>
    </w:lvl>
    <w:lvl w:ilvl="3" w:tplc="B714F5C0" w:tentative="1">
      <w:start w:val="1"/>
      <w:numFmt w:val="bullet"/>
      <w:lvlText w:val=""/>
      <w:lvlJc w:val="left"/>
      <w:pPr>
        <w:ind w:left="3150" w:hanging="360"/>
      </w:pPr>
      <w:rPr>
        <w:rFonts w:ascii="Symbol" w:hAnsi="Symbol" w:hint="default"/>
      </w:rPr>
    </w:lvl>
    <w:lvl w:ilvl="4" w:tplc="50809490" w:tentative="1">
      <w:start w:val="1"/>
      <w:numFmt w:val="bullet"/>
      <w:lvlText w:val="o"/>
      <w:lvlJc w:val="left"/>
      <w:pPr>
        <w:ind w:left="3870" w:hanging="360"/>
      </w:pPr>
      <w:rPr>
        <w:rFonts w:ascii="Courier New" w:hAnsi="Courier New" w:cs="Courier New" w:hint="default"/>
      </w:rPr>
    </w:lvl>
    <w:lvl w:ilvl="5" w:tplc="045239FA" w:tentative="1">
      <w:start w:val="1"/>
      <w:numFmt w:val="bullet"/>
      <w:lvlText w:val=""/>
      <w:lvlJc w:val="left"/>
      <w:pPr>
        <w:ind w:left="4590" w:hanging="360"/>
      </w:pPr>
      <w:rPr>
        <w:rFonts w:ascii="Wingdings" w:hAnsi="Wingdings" w:hint="default"/>
      </w:rPr>
    </w:lvl>
    <w:lvl w:ilvl="6" w:tplc="AA061E7C" w:tentative="1">
      <w:start w:val="1"/>
      <w:numFmt w:val="bullet"/>
      <w:lvlText w:val=""/>
      <w:lvlJc w:val="left"/>
      <w:pPr>
        <w:ind w:left="5310" w:hanging="360"/>
      </w:pPr>
      <w:rPr>
        <w:rFonts w:ascii="Symbol" w:hAnsi="Symbol" w:hint="default"/>
      </w:rPr>
    </w:lvl>
    <w:lvl w:ilvl="7" w:tplc="D1903FE6" w:tentative="1">
      <w:start w:val="1"/>
      <w:numFmt w:val="bullet"/>
      <w:lvlText w:val="o"/>
      <w:lvlJc w:val="left"/>
      <w:pPr>
        <w:ind w:left="6030" w:hanging="360"/>
      </w:pPr>
      <w:rPr>
        <w:rFonts w:ascii="Courier New" w:hAnsi="Courier New" w:cs="Courier New" w:hint="default"/>
      </w:rPr>
    </w:lvl>
    <w:lvl w:ilvl="8" w:tplc="C1987A1E" w:tentative="1">
      <w:start w:val="1"/>
      <w:numFmt w:val="bullet"/>
      <w:lvlText w:val=""/>
      <w:lvlJc w:val="left"/>
      <w:pPr>
        <w:ind w:left="6750" w:hanging="360"/>
      </w:pPr>
      <w:rPr>
        <w:rFonts w:ascii="Wingdings" w:hAnsi="Wingdings" w:hint="default"/>
      </w:rPr>
    </w:lvl>
  </w:abstractNum>
  <w:abstractNum w:abstractNumId="6" w15:restartNumberingAfterBreak="0">
    <w:nsid w:val="2EE53AA0"/>
    <w:multiLevelType w:val="hybridMultilevel"/>
    <w:tmpl w:val="9414502C"/>
    <w:lvl w:ilvl="0" w:tplc="08090001">
      <w:start w:val="1"/>
      <w:numFmt w:val="bullet"/>
      <w:lvlText w:val=""/>
      <w:lvlJc w:val="left"/>
      <w:pPr>
        <w:ind w:left="2061" w:hanging="360"/>
      </w:pPr>
      <w:rPr>
        <w:rFonts w:ascii="Symbol" w:hAnsi="Symbol"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3B0324D4"/>
    <w:multiLevelType w:val="hybridMultilevel"/>
    <w:tmpl w:val="0CE2B5E6"/>
    <w:lvl w:ilvl="0" w:tplc="63C4E94C">
      <w:start w:val="1"/>
      <w:numFmt w:val="bullet"/>
      <w:lvlText w:val=""/>
      <w:lvlJc w:val="left"/>
      <w:pPr>
        <w:ind w:left="720" w:hanging="360"/>
      </w:pPr>
      <w:rPr>
        <w:rFonts w:ascii="Symbol" w:hAnsi="Symbol" w:hint="default"/>
        <w:color w:val="7FC444"/>
      </w:rPr>
    </w:lvl>
    <w:lvl w:ilvl="1" w:tplc="8BF26A68" w:tentative="1">
      <w:start w:val="1"/>
      <w:numFmt w:val="bullet"/>
      <w:lvlText w:val="o"/>
      <w:lvlJc w:val="left"/>
      <w:pPr>
        <w:ind w:left="1800" w:hanging="360"/>
      </w:pPr>
      <w:rPr>
        <w:rFonts w:ascii="Courier New" w:hAnsi="Courier New" w:cs="Courier New" w:hint="default"/>
      </w:rPr>
    </w:lvl>
    <w:lvl w:ilvl="2" w:tplc="A4003018" w:tentative="1">
      <w:start w:val="1"/>
      <w:numFmt w:val="bullet"/>
      <w:lvlText w:val=""/>
      <w:lvlJc w:val="left"/>
      <w:pPr>
        <w:ind w:left="2520" w:hanging="360"/>
      </w:pPr>
      <w:rPr>
        <w:rFonts w:ascii="Wingdings" w:hAnsi="Wingdings" w:hint="default"/>
      </w:rPr>
    </w:lvl>
    <w:lvl w:ilvl="3" w:tplc="8F24FC6C" w:tentative="1">
      <w:start w:val="1"/>
      <w:numFmt w:val="bullet"/>
      <w:lvlText w:val=""/>
      <w:lvlJc w:val="left"/>
      <w:pPr>
        <w:ind w:left="3240" w:hanging="360"/>
      </w:pPr>
      <w:rPr>
        <w:rFonts w:ascii="Symbol" w:hAnsi="Symbol" w:hint="default"/>
      </w:rPr>
    </w:lvl>
    <w:lvl w:ilvl="4" w:tplc="5510D142" w:tentative="1">
      <w:start w:val="1"/>
      <w:numFmt w:val="bullet"/>
      <w:lvlText w:val="o"/>
      <w:lvlJc w:val="left"/>
      <w:pPr>
        <w:ind w:left="3960" w:hanging="360"/>
      </w:pPr>
      <w:rPr>
        <w:rFonts w:ascii="Courier New" w:hAnsi="Courier New" w:cs="Courier New" w:hint="default"/>
      </w:rPr>
    </w:lvl>
    <w:lvl w:ilvl="5" w:tplc="67C2E108" w:tentative="1">
      <w:start w:val="1"/>
      <w:numFmt w:val="bullet"/>
      <w:lvlText w:val=""/>
      <w:lvlJc w:val="left"/>
      <w:pPr>
        <w:ind w:left="4680" w:hanging="360"/>
      </w:pPr>
      <w:rPr>
        <w:rFonts w:ascii="Wingdings" w:hAnsi="Wingdings" w:hint="default"/>
      </w:rPr>
    </w:lvl>
    <w:lvl w:ilvl="6" w:tplc="74820F56" w:tentative="1">
      <w:start w:val="1"/>
      <w:numFmt w:val="bullet"/>
      <w:lvlText w:val=""/>
      <w:lvlJc w:val="left"/>
      <w:pPr>
        <w:ind w:left="5400" w:hanging="360"/>
      </w:pPr>
      <w:rPr>
        <w:rFonts w:ascii="Symbol" w:hAnsi="Symbol" w:hint="default"/>
      </w:rPr>
    </w:lvl>
    <w:lvl w:ilvl="7" w:tplc="D000189E" w:tentative="1">
      <w:start w:val="1"/>
      <w:numFmt w:val="bullet"/>
      <w:lvlText w:val="o"/>
      <w:lvlJc w:val="left"/>
      <w:pPr>
        <w:ind w:left="6120" w:hanging="360"/>
      </w:pPr>
      <w:rPr>
        <w:rFonts w:ascii="Courier New" w:hAnsi="Courier New" w:cs="Courier New" w:hint="default"/>
      </w:rPr>
    </w:lvl>
    <w:lvl w:ilvl="8" w:tplc="D5F6EE12" w:tentative="1">
      <w:start w:val="1"/>
      <w:numFmt w:val="bullet"/>
      <w:lvlText w:val=""/>
      <w:lvlJc w:val="left"/>
      <w:pPr>
        <w:ind w:left="6840" w:hanging="360"/>
      </w:pPr>
      <w:rPr>
        <w:rFonts w:ascii="Wingdings" w:hAnsi="Wingdings" w:hint="default"/>
      </w:rPr>
    </w:lvl>
  </w:abstractNum>
  <w:abstractNum w:abstractNumId="8" w15:restartNumberingAfterBreak="0">
    <w:nsid w:val="49770F1C"/>
    <w:multiLevelType w:val="hybridMultilevel"/>
    <w:tmpl w:val="C6985516"/>
    <w:lvl w:ilvl="0" w:tplc="8AD237F2">
      <w:start w:val="1"/>
      <w:numFmt w:val="bullet"/>
      <w:lvlText w:val=""/>
      <w:lvlJc w:val="left"/>
      <w:pPr>
        <w:tabs>
          <w:tab w:val="num" w:pos="1134"/>
        </w:tabs>
        <w:ind w:left="1134" w:hanging="567"/>
      </w:pPr>
      <w:rPr>
        <w:rFonts w:ascii="Symbol" w:hAnsi="Symbol" w:hint="default"/>
        <w:b w:val="0"/>
        <w:i w:val="0"/>
        <w:iCs/>
        <w:color w:val="7FC444"/>
      </w:rPr>
    </w:lvl>
    <w:lvl w:ilvl="1" w:tplc="08090001">
      <w:start w:val="1"/>
      <w:numFmt w:val="bullet"/>
      <w:lvlText w:val=""/>
      <w:lvlJc w:val="left"/>
      <w:pPr>
        <w:tabs>
          <w:tab w:val="num" w:pos="2007"/>
        </w:tabs>
        <w:ind w:left="2007" w:hanging="360"/>
      </w:pPr>
      <w:rPr>
        <w:rFonts w:ascii="Symbol" w:hAnsi="Symbol"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9" w15:restartNumberingAfterBreak="0">
    <w:nsid w:val="53EC42E2"/>
    <w:multiLevelType w:val="hybridMultilevel"/>
    <w:tmpl w:val="37ECB20A"/>
    <w:lvl w:ilvl="0" w:tplc="3D0A19EA">
      <w:start w:val="1"/>
      <w:numFmt w:val="bullet"/>
      <w:lvlText w:val=""/>
      <w:lvlJc w:val="left"/>
      <w:pPr>
        <w:ind w:left="720" w:hanging="360"/>
      </w:pPr>
      <w:rPr>
        <w:rFonts w:ascii="Symbol" w:hAnsi="Symbol" w:hint="default"/>
        <w:color w:val="auto"/>
      </w:rPr>
    </w:lvl>
    <w:lvl w:ilvl="1" w:tplc="89CE0D5E" w:tentative="1">
      <w:start w:val="1"/>
      <w:numFmt w:val="bullet"/>
      <w:lvlText w:val="o"/>
      <w:lvlJc w:val="left"/>
      <w:pPr>
        <w:ind w:left="1440" w:hanging="360"/>
      </w:pPr>
      <w:rPr>
        <w:rFonts w:ascii="Courier New" w:hAnsi="Courier New" w:cs="Courier New" w:hint="default"/>
      </w:rPr>
    </w:lvl>
    <w:lvl w:ilvl="2" w:tplc="173A53EA" w:tentative="1">
      <w:start w:val="1"/>
      <w:numFmt w:val="bullet"/>
      <w:lvlText w:val=""/>
      <w:lvlJc w:val="left"/>
      <w:pPr>
        <w:ind w:left="2160" w:hanging="360"/>
      </w:pPr>
      <w:rPr>
        <w:rFonts w:ascii="Wingdings" w:hAnsi="Wingdings" w:hint="default"/>
      </w:rPr>
    </w:lvl>
    <w:lvl w:ilvl="3" w:tplc="9A1A51A8" w:tentative="1">
      <w:start w:val="1"/>
      <w:numFmt w:val="bullet"/>
      <w:lvlText w:val=""/>
      <w:lvlJc w:val="left"/>
      <w:pPr>
        <w:ind w:left="2880" w:hanging="360"/>
      </w:pPr>
      <w:rPr>
        <w:rFonts w:ascii="Symbol" w:hAnsi="Symbol" w:hint="default"/>
      </w:rPr>
    </w:lvl>
    <w:lvl w:ilvl="4" w:tplc="002A8596" w:tentative="1">
      <w:start w:val="1"/>
      <w:numFmt w:val="bullet"/>
      <w:lvlText w:val="o"/>
      <w:lvlJc w:val="left"/>
      <w:pPr>
        <w:ind w:left="3600" w:hanging="360"/>
      </w:pPr>
      <w:rPr>
        <w:rFonts w:ascii="Courier New" w:hAnsi="Courier New" w:cs="Courier New" w:hint="default"/>
      </w:rPr>
    </w:lvl>
    <w:lvl w:ilvl="5" w:tplc="72A224D2" w:tentative="1">
      <w:start w:val="1"/>
      <w:numFmt w:val="bullet"/>
      <w:lvlText w:val=""/>
      <w:lvlJc w:val="left"/>
      <w:pPr>
        <w:ind w:left="4320" w:hanging="360"/>
      </w:pPr>
      <w:rPr>
        <w:rFonts w:ascii="Wingdings" w:hAnsi="Wingdings" w:hint="default"/>
      </w:rPr>
    </w:lvl>
    <w:lvl w:ilvl="6" w:tplc="0D0CD0AA" w:tentative="1">
      <w:start w:val="1"/>
      <w:numFmt w:val="bullet"/>
      <w:lvlText w:val=""/>
      <w:lvlJc w:val="left"/>
      <w:pPr>
        <w:ind w:left="5040" w:hanging="360"/>
      </w:pPr>
      <w:rPr>
        <w:rFonts w:ascii="Symbol" w:hAnsi="Symbol" w:hint="default"/>
      </w:rPr>
    </w:lvl>
    <w:lvl w:ilvl="7" w:tplc="BE6604E2" w:tentative="1">
      <w:start w:val="1"/>
      <w:numFmt w:val="bullet"/>
      <w:lvlText w:val="o"/>
      <w:lvlJc w:val="left"/>
      <w:pPr>
        <w:ind w:left="5760" w:hanging="360"/>
      </w:pPr>
      <w:rPr>
        <w:rFonts w:ascii="Courier New" w:hAnsi="Courier New" w:cs="Courier New" w:hint="default"/>
      </w:rPr>
    </w:lvl>
    <w:lvl w:ilvl="8" w:tplc="BB7AC68E" w:tentative="1">
      <w:start w:val="1"/>
      <w:numFmt w:val="bullet"/>
      <w:lvlText w:val=""/>
      <w:lvlJc w:val="left"/>
      <w:pPr>
        <w:ind w:left="6480" w:hanging="360"/>
      </w:pPr>
      <w:rPr>
        <w:rFonts w:ascii="Wingdings" w:hAnsi="Wingdings" w:hint="default"/>
      </w:rPr>
    </w:lvl>
  </w:abstractNum>
  <w:abstractNum w:abstractNumId="10" w15:restartNumberingAfterBreak="0">
    <w:nsid w:val="597811DD"/>
    <w:multiLevelType w:val="hybridMultilevel"/>
    <w:tmpl w:val="FA5C2D58"/>
    <w:lvl w:ilvl="0" w:tplc="1204A25E">
      <w:start w:val="1"/>
      <w:numFmt w:val="decimal"/>
      <w:lvlText w:val="%1."/>
      <w:lvlJc w:val="left"/>
      <w:pPr>
        <w:ind w:left="720" w:hanging="360"/>
      </w:pPr>
    </w:lvl>
    <w:lvl w:ilvl="1" w:tplc="9342CE80" w:tentative="1">
      <w:start w:val="1"/>
      <w:numFmt w:val="lowerLetter"/>
      <w:lvlText w:val="%2."/>
      <w:lvlJc w:val="left"/>
      <w:pPr>
        <w:ind w:left="1440" w:hanging="360"/>
      </w:pPr>
    </w:lvl>
    <w:lvl w:ilvl="2" w:tplc="9EFA8EE8" w:tentative="1">
      <w:start w:val="1"/>
      <w:numFmt w:val="lowerRoman"/>
      <w:lvlText w:val="%3."/>
      <w:lvlJc w:val="right"/>
      <w:pPr>
        <w:ind w:left="2160" w:hanging="180"/>
      </w:pPr>
    </w:lvl>
    <w:lvl w:ilvl="3" w:tplc="EF30B22C" w:tentative="1">
      <w:start w:val="1"/>
      <w:numFmt w:val="decimal"/>
      <w:lvlText w:val="%4."/>
      <w:lvlJc w:val="left"/>
      <w:pPr>
        <w:ind w:left="2880" w:hanging="360"/>
      </w:pPr>
    </w:lvl>
    <w:lvl w:ilvl="4" w:tplc="AF32C09C" w:tentative="1">
      <w:start w:val="1"/>
      <w:numFmt w:val="lowerLetter"/>
      <w:lvlText w:val="%5."/>
      <w:lvlJc w:val="left"/>
      <w:pPr>
        <w:ind w:left="3600" w:hanging="360"/>
      </w:pPr>
    </w:lvl>
    <w:lvl w:ilvl="5" w:tplc="B3C2C1A2" w:tentative="1">
      <w:start w:val="1"/>
      <w:numFmt w:val="lowerRoman"/>
      <w:lvlText w:val="%6."/>
      <w:lvlJc w:val="right"/>
      <w:pPr>
        <w:ind w:left="4320" w:hanging="180"/>
      </w:pPr>
    </w:lvl>
    <w:lvl w:ilvl="6" w:tplc="0D188EE2" w:tentative="1">
      <w:start w:val="1"/>
      <w:numFmt w:val="decimal"/>
      <w:lvlText w:val="%7."/>
      <w:lvlJc w:val="left"/>
      <w:pPr>
        <w:ind w:left="5040" w:hanging="360"/>
      </w:pPr>
    </w:lvl>
    <w:lvl w:ilvl="7" w:tplc="E294FDF6" w:tentative="1">
      <w:start w:val="1"/>
      <w:numFmt w:val="lowerLetter"/>
      <w:lvlText w:val="%8."/>
      <w:lvlJc w:val="left"/>
      <w:pPr>
        <w:ind w:left="5760" w:hanging="360"/>
      </w:pPr>
    </w:lvl>
    <w:lvl w:ilvl="8" w:tplc="7ED0587E" w:tentative="1">
      <w:start w:val="1"/>
      <w:numFmt w:val="lowerRoman"/>
      <w:lvlText w:val="%9."/>
      <w:lvlJc w:val="right"/>
      <w:pPr>
        <w:ind w:left="6480" w:hanging="180"/>
      </w:pPr>
    </w:lvl>
  </w:abstractNum>
  <w:abstractNum w:abstractNumId="11" w15:restartNumberingAfterBreak="0">
    <w:nsid w:val="5C4D2CDE"/>
    <w:multiLevelType w:val="hybridMultilevel"/>
    <w:tmpl w:val="5B6827D0"/>
    <w:lvl w:ilvl="0" w:tplc="7346A968">
      <w:start w:val="1"/>
      <w:numFmt w:val="bullet"/>
      <w:lvlText w:val=""/>
      <w:lvlJc w:val="left"/>
      <w:pPr>
        <w:ind w:left="720" w:hanging="360"/>
      </w:pPr>
      <w:rPr>
        <w:rFonts w:ascii="Symbol" w:hAnsi="Symbol" w:hint="default"/>
        <w:color w:val="7FC444"/>
      </w:rPr>
    </w:lvl>
    <w:lvl w:ilvl="1" w:tplc="84B23714" w:tentative="1">
      <w:start w:val="1"/>
      <w:numFmt w:val="bullet"/>
      <w:lvlText w:val="o"/>
      <w:lvlJc w:val="left"/>
      <w:pPr>
        <w:ind w:left="1440" w:hanging="360"/>
      </w:pPr>
      <w:rPr>
        <w:rFonts w:ascii="Courier New" w:hAnsi="Courier New" w:cs="Courier New" w:hint="default"/>
      </w:rPr>
    </w:lvl>
    <w:lvl w:ilvl="2" w:tplc="844006D2" w:tentative="1">
      <w:start w:val="1"/>
      <w:numFmt w:val="bullet"/>
      <w:lvlText w:val=""/>
      <w:lvlJc w:val="left"/>
      <w:pPr>
        <w:ind w:left="2160" w:hanging="360"/>
      </w:pPr>
      <w:rPr>
        <w:rFonts w:ascii="Wingdings" w:hAnsi="Wingdings" w:hint="default"/>
      </w:rPr>
    </w:lvl>
    <w:lvl w:ilvl="3" w:tplc="22766444" w:tentative="1">
      <w:start w:val="1"/>
      <w:numFmt w:val="bullet"/>
      <w:lvlText w:val=""/>
      <w:lvlJc w:val="left"/>
      <w:pPr>
        <w:ind w:left="2880" w:hanging="360"/>
      </w:pPr>
      <w:rPr>
        <w:rFonts w:ascii="Symbol" w:hAnsi="Symbol" w:hint="default"/>
      </w:rPr>
    </w:lvl>
    <w:lvl w:ilvl="4" w:tplc="03705540" w:tentative="1">
      <w:start w:val="1"/>
      <w:numFmt w:val="bullet"/>
      <w:lvlText w:val="o"/>
      <w:lvlJc w:val="left"/>
      <w:pPr>
        <w:ind w:left="3600" w:hanging="360"/>
      </w:pPr>
      <w:rPr>
        <w:rFonts w:ascii="Courier New" w:hAnsi="Courier New" w:cs="Courier New" w:hint="default"/>
      </w:rPr>
    </w:lvl>
    <w:lvl w:ilvl="5" w:tplc="F9AA7DBE" w:tentative="1">
      <w:start w:val="1"/>
      <w:numFmt w:val="bullet"/>
      <w:lvlText w:val=""/>
      <w:lvlJc w:val="left"/>
      <w:pPr>
        <w:ind w:left="4320" w:hanging="360"/>
      </w:pPr>
      <w:rPr>
        <w:rFonts w:ascii="Wingdings" w:hAnsi="Wingdings" w:hint="default"/>
      </w:rPr>
    </w:lvl>
    <w:lvl w:ilvl="6" w:tplc="76BEC3A4" w:tentative="1">
      <w:start w:val="1"/>
      <w:numFmt w:val="bullet"/>
      <w:lvlText w:val=""/>
      <w:lvlJc w:val="left"/>
      <w:pPr>
        <w:ind w:left="5040" w:hanging="360"/>
      </w:pPr>
      <w:rPr>
        <w:rFonts w:ascii="Symbol" w:hAnsi="Symbol" w:hint="default"/>
      </w:rPr>
    </w:lvl>
    <w:lvl w:ilvl="7" w:tplc="E26E5358" w:tentative="1">
      <w:start w:val="1"/>
      <w:numFmt w:val="bullet"/>
      <w:lvlText w:val="o"/>
      <w:lvlJc w:val="left"/>
      <w:pPr>
        <w:ind w:left="5760" w:hanging="360"/>
      </w:pPr>
      <w:rPr>
        <w:rFonts w:ascii="Courier New" w:hAnsi="Courier New" w:cs="Courier New" w:hint="default"/>
      </w:rPr>
    </w:lvl>
    <w:lvl w:ilvl="8" w:tplc="A762E218" w:tentative="1">
      <w:start w:val="1"/>
      <w:numFmt w:val="bullet"/>
      <w:lvlText w:val=""/>
      <w:lvlJc w:val="left"/>
      <w:pPr>
        <w:ind w:left="6480" w:hanging="360"/>
      </w:pPr>
      <w:rPr>
        <w:rFonts w:ascii="Wingdings" w:hAnsi="Wingdings" w:hint="default"/>
      </w:rPr>
    </w:lvl>
  </w:abstractNum>
  <w:abstractNum w:abstractNumId="12" w15:restartNumberingAfterBreak="0">
    <w:nsid w:val="5EBF00E5"/>
    <w:multiLevelType w:val="hybridMultilevel"/>
    <w:tmpl w:val="EBEEA6BA"/>
    <w:lvl w:ilvl="0" w:tplc="81482D5A">
      <w:start w:val="1"/>
      <w:numFmt w:val="decimal"/>
      <w:lvlText w:val="%1."/>
      <w:lvlJc w:val="left"/>
      <w:pPr>
        <w:ind w:left="360" w:hanging="360"/>
      </w:pPr>
      <w:rPr>
        <w:rFonts w:ascii="Arial" w:hAnsi="Arial" w:hint="default"/>
        <w:b w:val="0"/>
        <w:bCs w:val="0"/>
        <w:i w:val="0"/>
        <w:color w:val="auto"/>
        <w:sz w:val="22"/>
        <w:szCs w:val="22"/>
      </w:rPr>
    </w:lvl>
    <w:lvl w:ilvl="1" w:tplc="2730C000" w:tentative="1">
      <w:start w:val="1"/>
      <w:numFmt w:val="lowerLetter"/>
      <w:lvlText w:val="%2."/>
      <w:lvlJc w:val="left"/>
      <w:pPr>
        <w:ind w:left="1080" w:hanging="360"/>
      </w:pPr>
    </w:lvl>
    <w:lvl w:ilvl="2" w:tplc="5FA0F9F8" w:tentative="1">
      <w:start w:val="1"/>
      <w:numFmt w:val="lowerRoman"/>
      <w:lvlText w:val="%3."/>
      <w:lvlJc w:val="right"/>
      <w:pPr>
        <w:ind w:left="1800" w:hanging="180"/>
      </w:pPr>
    </w:lvl>
    <w:lvl w:ilvl="3" w:tplc="653E56D2" w:tentative="1">
      <w:start w:val="1"/>
      <w:numFmt w:val="decimal"/>
      <w:lvlText w:val="%4."/>
      <w:lvlJc w:val="left"/>
      <w:pPr>
        <w:ind w:left="2520" w:hanging="360"/>
      </w:pPr>
    </w:lvl>
    <w:lvl w:ilvl="4" w:tplc="12C0C228" w:tentative="1">
      <w:start w:val="1"/>
      <w:numFmt w:val="lowerLetter"/>
      <w:lvlText w:val="%5."/>
      <w:lvlJc w:val="left"/>
      <w:pPr>
        <w:ind w:left="3240" w:hanging="360"/>
      </w:pPr>
    </w:lvl>
    <w:lvl w:ilvl="5" w:tplc="34702772" w:tentative="1">
      <w:start w:val="1"/>
      <w:numFmt w:val="lowerRoman"/>
      <w:lvlText w:val="%6."/>
      <w:lvlJc w:val="right"/>
      <w:pPr>
        <w:ind w:left="3960" w:hanging="180"/>
      </w:pPr>
    </w:lvl>
    <w:lvl w:ilvl="6" w:tplc="B58AFD50" w:tentative="1">
      <w:start w:val="1"/>
      <w:numFmt w:val="decimal"/>
      <w:lvlText w:val="%7."/>
      <w:lvlJc w:val="left"/>
      <w:pPr>
        <w:ind w:left="4680" w:hanging="360"/>
      </w:pPr>
    </w:lvl>
    <w:lvl w:ilvl="7" w:tplc="9AEA6A3A" w:tentative="1">
      <w:start w:val="1"/>
      <w:numFmt w:val="lowerLetter"/>
      <w:lvlText w:val="%8."/>
      <w:lvlJc w:val="left"/>
      <w:pPr>
        <w:ind w:left="5400" w:hanging="360"/>
      </w:pPr>
    </w:lvl>
    <w:lvl w:ilvl="8" w:tplc="CF92BB6C" w:tentative="1">
      <w:start w:val="1"/>
      <w:numFmt w:val="lowerRoman"/>
      <w:lvlText w:val="%9."/>
      <w:lvlJc w:val="right"/>
      <w:pPr>
        <w:ind w:left="6120" w:hanging="180"/>
      </w:pPr>
    </w:lvl>
  </w:abstractNum>
  <w:abstractNum w:abstractNumId="13" w15:restartNumberingAfterBreak="0">
    <w:nsid w:val="687524EC"/>
    <w:multiLevelType w:val="hybridMultilevel"/>
    <w:tmpl w:val="C83AE318"/>
    <w:lvl w:ilvl="0" w:tplc="F40C1A30">
      <w:start w:val="1"/>
      <w:numFmt w:val="bullet"/>
      <w:lvlText w:val=""/>
      <w:lvlJc w:val="left"/>
      <w:pPr>
        <w:ind w:left="720" w:hanging="360"/>
      </w:pPr>
      <w:rPr>
        <w:rFonts w:ascii="Symbol" w:hAnsi="Symbol" w:hint="default"/>
        <w:color w:val="7FC444"/>
      </w:rPr>
    </w:lvl>
    <w:lvl w:ilvl="1" w:tplc="2B74523A" w:tentative="1">
      <w:start w:val="1"/>
      <w:numFmt w:val="bullet"/>
      <w:lvlText w:val="o"/>
      <w:lvlJc w:val="left"/>
      <w:pPr>
        <w:ind w:left="1440" w:hanging="360"/>
      </w:pPr>
      <w:rPr>
        <w:rFonts w:ascii="Courier New" w:hAnsi="Courier New" w:cs="Courier New" w:hint="default"/>
      </w:rPr>
    </w:lvl>
    <w:lvl w:ilvl="2" w:tplc="0CD6E420" w:tentative="1">
      <w:start w:val="1"/>
      <w:numFmt w:val="bullet"/>
      <w:lvlText w:val=""/>
      <w:lvlJc w:val="left"/>
      <w:pPr>
        <w:ind w:left="2160" w:hanging="360"/>
      </w:pPr>
      <w:rPr>
        <w:rFonts w:ascii="Wingdings" w:hAnsi="Wingdings" w:hint="default"/>
      </w:rPr>
    </w:lvl>
    <w:lvl w:ilvl="3" w:tplc="27543DA2" w:tentative="1">
      <w:start w:val="1"/>
      <w:numFmt w:val="bullet"/>
      <w:lvlText w:val=""/>
      <w:lvlJc w:val="left"/>
      <w:pPr>
        <w:ind w:left="2880" w:hanging="360"/>
      </w:pPr>
      <w:rPr>
        <w:rFonts w:ascii="Symbol" w:hAnsi="Symbol" w:hint="default"/>
      </w:rPr>
    </w:lvl>
    <w:lvl w:ilvl="4" w:tplc="E0CA352E" w:tentative="1">
      <w:start w:val="1"/>
      <w:numFmt w:val="bullet"/>
      <w:lvlText w:val="o"/>
      <w:lvlJc w:val="left"/>
      <w:pPr>
        <w:ind w:left="3600" w:hanging="360"/>
      </w:pPr>
      <w:rPr>
        <w:rFonts w:ascii="Courier New" w:hAnsi="Courier New" w:cs="Courier New" w:hint="default"/>
      </w:rPr>
    </w:lvl>
    <w:lvl w:ilvl="5" w:tplc="A87ABEE6" w:tentative="1">
      <w:start w:val="1"/>
      <w:numFmt w:val="bullet"/>
      <w:lvlText w:val=""/>
      <w:lvlJc w:val="left"/>
      <w:pPr>
        <w:ind w:left="4320" w:hanging="360"/>
      </w:pPr>
      <w:rPr>
        <w:rFonts w:ascii="Wingdings" w:hAnsi="Wingdings" w:hint="default"/>
      </w:rPr>
    </w:lvl>
    <w:lvl w:ilvl="6" w:tplc="32427774" w:tentative="1">
      <w:start w:val="1"/>
      <w:numFmt w:val="bullet"/>
      <w:lvlText w:val=""/>
      <w:lvlJc w:val="left"/>
      <w:pPr>
        <w:ind w:left="5040" w:hanging="360"/>
      </w:pPr>
      <w:rPr>
        <w:rFonts w:ascii="Symbol" w:hAnsi="Symbol" w:hint="default"/>
      </w:rPr>
    </w:lvl>
    <w:lvl w:ilvl="7" w:tplc="1C5A1458" w:tentative="1">
      <w:start w:val="1"/>
      <w:numFmt w:val="bullet"/>
      <w:lvlText w:val="o"/>
      <w:lvlJc w:val="left"/>
      <w:pPr>
        <w:ind w:left="5760" w:hanging="360"/>
      </w:pPr>
      <w:rPr>
        <w:rFonts w:ascii="Courier New" w:hAnsi="Courier New" w:cs="Courier New" w:hint="default"/>
      </w:rPr>
    </w:lvl>
    <w:lvl w:ilvl="8" w:tplc="D3CE21BE" w:tentative="1">
      <w:start w:val="1"/>
      <w:numFmt w:val="bullet"/>
      <w:lvlText w:val=""/>
      <w:lvlJc w:val="left"/>
      <w:pPr>
        <w:ind w:left="6480" w:hanging="360"/>
      </w:pPr>
      <w:rPr>
        <w:rFonts w:ascii="Wingdings" w:hAnsi="Wingdings" w:hint="default"/>
      </w:rPr>
    </w:lvl>
  </w:abstractNum>
  <w:abstractNum w:abstractNumId="14" w15:restartNumberingAfterBreak="0">
    <w:nsid w:val="6D6C1A74"/>
    <w:multiLevelType w:val="hybridMultilevel"/>
    <w:tmpl w:val="113EDC8E"/>
    <w:lvl w:ilvl="0" w:tplc="FFFFFFFF">
      <w:start w:val="1"/>
      <w:numFmt w:val="bullet"/>
      <w:lvlText w:val=""/>
      <w:lvlJc w:val="left"/>
      <w:pPr>
        <w:tabs>
          <w:tab w:val="num" w:pos="1134"/>
        </w:tabs>
        <w:ind w:left="1134" w:hanging="567"/>
      </w:pPr>
      <w:rPr>
        <w:rFonts w:ascii="Symbol" w:hAnsi="Symbol" w:hint="default"/>
        <w:b w:val="0"/>
        <w:i w:val="0"/>
        <w:iCs/>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5" w15:restartNumberingAfterBreak="0">
    <w:nsid w:val="6E981066"/>
    <w:multiLevelType w:val="hybridMultilevel"/>
    <w:tmpl w:val="29A03522"/>
    <w:lvl w:ilvl="0" w:tplc="31607DE8">
      <w:start w:val="1"/>
      <w:numFmt w:val="bullet"/>
      <w:lvlText w:val=""/>
      <w:lvlJc w:val="left"/>
      <w:pPr>
        <w:ind w:left="720" w:hanging="360"/>
      </w:pPr>
      <w:rPr>
        <w:rFonts w:ascii="Symbol" w:hAnsi="Symbol" w:hint="default"/>
        <w:color w:val="7FC444"/>
      </w:rPr>
    </w:lvl>
    <w:lvl w:ilvl="1" w:tplc="C34E1BE6" w:tentative="1">
      <w:start w:val="1"/>
      <w:numFmt w:val="bullet"/>
      <w:lvlText w:val="o"/>
      <w:lvlJc w:val="left"/>
      <w:pPr>
        <w:ind w:left="1440" w:hanging="360"/>
      </w:pPr>
      <w:rPr>
        <w:rFonts w:ascii="Courier New" w:hAnsi="Courier New" w:cs="Courier New" w:hint="default"/>
      </w:rPr>
    </w:lvl>
    <w:lvl w:ilvl="2" w:tplc="BD46C7EA" w:tentative="1">
      <w:start w:val="1"/>
      <w:numFmt w:val="bullet"/>
      <w:lvlText w:val=""/>
      <w:lvlJc w:val="left"/>
      <w:pPr>
        <w:ind w:left="2160" w:hanging="360"/>
      </w:pPr>
      <w:rPr>
        <w:rFonts w:ascii="Wingdings" w:hAnsi="Wingdings" w:hint="default"/>
      </w:rPr>
    </w:lvl>
    <w:lvl w:ilvl="3" w:tplc="FAD0A30A" w:tentative="1">
      <w:start w:val="1"/>
      <w:numFmt w:val="bullet"/>
      <w:lvlText w:val=""/>
      <w:lvlJc w:val="left"/>
      <w:pPr>
        <w:ind w:left="2880" w:hanging="360"/>
      </w:pPr>
      <w:rPr>
        <w:rFonts w:ascii="Symbol" w:hAnsi="Symbol" w:hint="default"/>
      </w:rPr>
    </w:lvl>
    <w:lvl w:ilvl="4" w:tplc="35160BB0" w:tentative="1">
      <w:start w:val="1"/>
      <w:numFmt w:val="bullet"/>
      <w:lvlText w:val="o"/>
      <w:lvlJc w:val="left"/>
      <w:pPr>
        <w:ind w:left="3600" w:hanging="360"/>
      </w:pPr>
      <w:rPr>
        <w:rFonts w:ascii="Courier New" w:hAnsi="Courier New" w:cs="Courier New" w:hint="default"/>
      </w:rPr>
    </w:lvl>
    <w:lvl w:ilvl="5" w:tplc="D16CACEE" w:tentative="1">
      <w:start w:val="1"/>
      <w:numFmt w:val="bullet"/>
      <w:lvlText w:val=""/>
      <w:lvlJc w:val="left"/>
      <w:pPr>
        <w:ind w:left="4320" w:hanging="360"/>
      </w:pPr>
      <w:rPr>
        <w:rFonts w:ascii="Wingdings" w:hAnsi="Wingdings" w:hint="default"/>
      </w:rPr>
    </w:lvl>
    <w:lvl w:ilvl="6" w:tplc="C4AA4416" w:tentative="1">
      <w:start w:val="1"/>
      <w:numFmt w:val="bullet"/>
      <w:lvlText w:val=""/>
      <w:lvlJc w:val="left"/>
      <w:pPr>
        <w:ind w:left="5040" w:hanging="360"/>
      </w:pPr>
      <w:rPr>
        <w:rFonts w:ascii="Symbol" w:hAnsi="Symbol" w:hint="default"/>
      </w:rPr>
    </w:lvl>
    <w:lvl w:ilvl="7" w:tplc="4DECA906" w:tentative="1">
      <w:start w:val="1"/>
      <w:numFmt w:val="bullet"/>
      <w:lvlText w:val="o"/>
      <w:lvlJc w:val="left"/>
      <w:pPr>
        <w:ind w:left="5760" w:hanging="360"/>
      </w:pPr>
      <w:rPr>
        <w:rFonts w:ascii="Courier New" w:hAnsi="Courier New" w:cs="Courier New" w:hint="default"/>
      </w:rPr>
    </w:lvl>
    <w:lvl w:ilvl="8" w:tplc="DCCC1706" w:tentative="1">
      <w:start w:val="1"/>
      <w:numFmt w:val="bullet"/>
      <w:lvlText w:val=""/>
      <w:lvlJc w:val="left"/>
      <w:pPr>
        <w:ind w:left="6480" w:hanging="360"/>
      </w:pPr>
      <w:rPr>
        <w:rFonts w:ascii="Wingdings" w:hAnsi="Wingdings" w:hint="default"/>
      </w:rPr>
    </w:lvl>
  </w:abstractNum>
  <w:abstractNum w:abstractNumId="16" w15:restartNumberingAfterBreak="0">
    <w:nsid w:val="7C6872A1"/>
    <w:multiLevelType w:val="hybridMultilevel"/>
    <w:tmpl w:val="700E460A"/>
    <w:lvl w:ilvl="0" w:tplc="1C94A8C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6268A5A" w:tentative="1">
      <w:start w:val="1"/>
      <w:numFmt w:val="bullet"/>
      <w:lvlText w:val="o"/>
      <w:lvlJc w:val="left"/>
      <w:pPr>
        <w:tabs>
          <w:tab w:val="num" w:pos="1440"/>
        </w:tabs>
        <w:ind w:left="1440" w:hanging="360"/>
      </w:pPr>
      <w:rPr>
        <w:rFonts w:ascii="Courier New" w:hAnsi="Courier New" w:hint="default"/>
      </w:rPr>
    </w:lvl>
    <w:lvl w:ilvl="2" w:tplc="391EAD16" w:tentative="1">
      <w:start w:val="1"/>
      <w:numFmt w:val="bullet"/>
      <w:lvlText w:val=""/>
      <w:lvlJc w:val="left"/>
      <w:pPr>
        <w:tabs>
          <w:tab w:val="num" w:pos="2160"/>
        </w:tabs>
        <w:ind w:left="2160" w:hanging="360"/>
      </w:pPr>
      <w:rPr>
        <w:rFonts w:ascii="Wingdings" w:hAnsi="Wingdings" w:hint="default"/>
      </w:rPr>
    </w:lvl>
    <w:lvl w:ilvl="3" w:tplc="9C223FB8" w:tentative="1">
      <w:start w:val="1"/>
      <w:numFmt w:val="bullet"/>
      <w:lvlText w:val=""/>
      <w:lvlJc w:val="left"/>
      <w:pPr>
        <w:tabs>
          <w:tab w:val="num" w:pos="2880"/>
        </w:tabs>
        <w:ind w:left="2880" w:hanging="360"/>
      </w:pPr>
      <w:rPr>
        <w:rFonts w:ascii="Symbol" w:hAnsi="Symbol" w:hint="default"/>
      </w:rPr>
    </w:lvl>
    <w:lvl w:ilvl="4" w:tplc="03AE8D8C" w:tentative="1">
      <w:start w:val="1"/>
      <w:numFmt w:val="bullet"/>
      <w:lvlText w:val="o"/>
      <w:lvlJc w:val="left"/>
      <w:pPr>
        <w:tabs>
          <w:tab w:val="num" w:pos="3600"/>
        </w:tabs>
        <w:ind w:left="3600" w:hanging="360"/>
      </w:pPr>
      <w:rPr>
        <w:rFonts w:ascii="Courier New" w:hAnsi="Courier New" w:hint="default"/>
      </w:rPr>
    </w:lvl>
    <w:lvl w:ilvl="5" w:tplc="D6BA228C" w:tentative="1">
      <w:start w:val="1"/>
      <w:numFmt w:val="bullet"/>
      <w:lvlText w:val=""/>
      <w:lvlJc w:val="left"/>
      <w:pPr>
        <w:tabs>
          <w:tab w:val="num" w:pos="4320"/>
        </w:tabs>
        <w:ind w:left="4320" w:hanging="360"/>
      </w:pPr>
      <w:rPr>
        <w:rFonts w:ascii="Wingdings" w:hAnsi="Wingdings" w:hint="default"/>
      </w:rPr>
    </w:lvl>
    <w:lvl w:ilvl="6" w:tplc="E0FE2EDA" w:tentative="1">
      <w:start w:val="1"/>
      <w:numFmt w:val="bullet"/>
      <w:lvlText w:val=""/>
      <w:lvlJc w:val="left"/>
      <w:pPr>
        <w:tabs>
          <w:tab w:val="num" w:pos="5040"/>
        </w:tabs>
        <w:ind w:left="5040" w:hanging="360"/>
      </w:pPr>
      <w:rPr>
        <w:rFonts w:ascii="Symbol" w:hAnsi="Symbol" w:hint="default"/>
      </w:rPr>
    </w:lvl>
    <w:lvl w:ilvl="7" w:tplc="EE2800B0" w:tentative="1">
      <w:start w:val="1"/>
      <w:numFmt w:val="bullet"/>
      <w:lvlText w:val="o"/>
      <w:lvlJc w:val="left"/>
      <w:pPr>
        <w:tabs>
          <w:tab w:val="num" w:pos="5760"/>
        </w:tabs>
        <w:ind w:left="5760" w:hanging="360"/>
      </w:pPr>
      <w:rPr>
        <w:rFonts w:ascii="Courier New" w:hAnsi="Courier New" w:hint="default"/>
      </w:rPr>
    </w:lvl>
    <w:lvl w:ilvl="8" w:tplc="9AB81E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A4A9F"/>
    <w:multiLevelType w:val="hybridMultilevel"/>
    <w:tmpl w:val="ED440244"/>
    <w:lvl w:ilvl="0" w:tplc="08090017">
      <w:start w:val="1"/>
      <w:numFmt w:val="lowerLetter"/>
      <w:lvlText w:val="%1)"/>
      <w:lvlJc w:val="left"/>
      <w:pPr>
        <w:ind w:left="927" w:hanging="360"/>
      </w:pPr>
    </w:lvl>
    <w:lvl w:ilvl="1" w:tplc="08090017">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F750721"/>
    <w:multiLevelType w:val="hybridMultilevel"/>
    <w:tmpl w:val="73EC96F4"/>
    <w:lvl w:ilvl="0" w:tplc="FFFFFFFF">
      <w:start w:val="1"/>
      <w:numFmt w:val="bullet"/>
      <w:lvlText w:val=""/>
      <w:lvlJc w:val="left"/>
      <w:pPr>
        <w:tabs>
          <w:tab w:val="num" w:pos="567"/>
        </w:tabs>
        <w:ind w:left="567" w:hanging="567"/>
      </w:pPr>
      <w:rPr>
        <w:rFonts w:ascii="Symbol" w:hAnsi="Symbol" w:hint="default"/>
        <w:b w:val="0"/>
        <w:i w:val="0"/>
        <w:iCs/>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EF54B2"/>
    <w:multiLevelType w:val="hybridMultilevel"/>
    <w:tmpl w:val="75B62ACE"/>
    <w:lvl w:ilvl="0" w:tplc="40A67112">
      <w:start w:val="1"/>
      <w:numFmt w:val="decimal"/>
      <w:lvlText w:val="%1."/>
      <w:lvlJc w:val="left"/>
      <w:pPr>
        <w:ind w:left="720" w:hanging="360"/>
      </w:pPr>
    </w:lvl>
    <w:lvl w:ilvl="1" w:tplc="286868E2" w:tentative="1">
      <w:start w:val="1"/>
      <w:numFmt w:val="lowerLetter"/>
      <w:lvlText w:val="%2."/>
      <w:lvlJc w:val="left"/>
      <w:pPr>
        <w:ind w:left="1440" w:hanging="360"/>
      </w:pPr>
    </w:lvl>
    <w:lvl w:ilvl="2" w:tplc="458466C4" w:tentative="1">
      <w:start w:val="1"/>
      <w:numFmt w:val="lowerRoman"/>
      <w:lvlText w:val="%3."/>
      <w:lvlJc w:val="right"/>
      <w:pPr>
        <w:ind w:left="2160" w:hanging="180"/>
      </w:pPr>
    </w:lvl>
    <w:lvl w:ilvl="3" w:tplc="DAC0B36A" w:tentative="1">
      <w:start w:val="1"/>
      <w:numFmt w:val="decimal"/>
      <w:lvlText w:val="%4."/>
      <w:lvlJc w:val="left"/>
      <w:pPr>
        <w:ind w:left="2880" w:hanging="360"/>
      </w:pPr>
    </w:lvl>
    <w:lvl w:ilvl="4" w:tplc="9056CFD6" w:tentative="1">
      <w:start w:val="1"/>
      <w:numFmt w:val="lowerLetter"/>
      <w:lvlText w:val="%5."/>
      <w:lvlJc w:val="left"/>
      <w:pPr>
        <w:ind w:left="3600" w:hanging="360"/>
      </w:pPr>
    </w:lvl>
    <w:lvl w:ilvl="5" w:tplc="C17A0068" w:tentative="1">
      <w:start w:val="1"/>
      <w:numFmt w:val="lowerRoman"/>
      <w:lvlText w:val="%6."/>
      <w:lvlJc w:val="right"/>
      <w:pPr>
        <w:ind w:left="4320" w:hanging="180"/>
      </w:pPr>
    </w:lvl>
    <w:lvl w:ilvl="6" w:tplc="E81287F6" w:tentative="1">
      <w:start w:val="1"/>
      <w:numFmt w:val="decimal"/>
      <w:lvlText w:val="%7."/>
      <w:lvlJc w:val="left"/>
      <w:pPr>
        <w:ind w:left="5040" w:hanging="360"/>
      </w:pPr>
    </w:lvl>
    <w:lvl w:ilvl="7" w:tplc="58925EB8" w:tentative="1">
      <w:start w:val="1"/>
      <w:numFmt w:val="lowerLetter"/>
      <w:lvlText w:val="%8."/>
      <w:lvlJc w:val="left"/>
      <w:pPr>
        <w:ind w:left="5760" w:hanging="360"/>
      </w:pPr>
    </w:lvl>
    <w:lvl w:ilvl="8" w:tplc="2FCE77C2"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13"/>
  </w:num>
  <w:num w:numId="5">
    <w:abstractNumId w:val="9"/>
  </w:num>
  <w:num w:numId="6">
    <w:abstractNumId w:val="5"/>
  </w:num>
  <w:num w:numId="7">
    <w:abstractNumId w:val="7"/>
  </w:num>
  <w:num w:numId="8">
    <w:abstractNumId w:val="12"/>
  </w:num>
  <w:num w:numId="9">
    <w:abstractNumId w:val="19"/>
  </w:num>
  <w:num w:numId="10">
    <w:abstractNumId w:val="10"/>
  </w:num>
  <w:num w:numId="11">
    <w:abstractNumId w:val="1"/>
  </w:num>
  <w:num w:numId="12">
    <w:abstractNumId w:val="17"/>
  </w:num>
  <w:num w:numId="13">
    <w:abstractNumId w:val="6"/>
  </w:num>
  <w:num w:numId="14">
    <w:abstractNumId w:val="4"/>
  </w:num>
  <w:num w:numId="15">
    <w:abstractNumId w:val="8"/>
  </w:num>
  <w:num w:numId="16">
    <w:abstractNumId w:val="0"/>
  </w:num>
  <w:num w:numId="17">
    <w:abstractNumId w:val="2"/>
  </w:num>
  <w:num w:numId="18">
    <w:abstractNumId w:val="1"/>
    <w:lvlOverride w:ilvl="0">
      <w:lvl w:ilvl="0" w:tplc="093A5986">
        <w:start w:val="1"/>
        <w:numFmt w:val="decimal"/>
        <w:lvlText w:val="%1."/>
        <w:lvlJc w:val="left"/>
        <w:pPr>
          <w:ind w:left="567" w:hanging="567"/>
        </w:pPr>
        <w:rPr>
          <w:b w:val="0"/>
          <w:color w:val="auto"/>
          <w:sz w:val="22"/>
          <w:szCs w:val="22"/>
        </w:rPr>
      </w:lvl>
    </w:lvlOverride>
    <w:lvlOverride w:ilvl="1">
      <w:lvl w:ilvl="1" w:tplc="08090001">
        <w:start w:val="1"/>
        <w:numFmt w:val="lowerLetter"/>
        <w:lvlText w:val="%2."/>
        <w:lvlJc w:val="left"/>
        <w:pPr>
          <w:ind w:left="1440" w:hanging="360"/>
        </w:pPr>
        <w:rPr>
          <w:rFonts w:ascii="Symbol" w:hAnsi="Symbol" w:hint="default"/>
        </w:rPr>
      </w:lvl>
    </w:lvlOverride>
    <w:lvlOverride w:ilvl="2">
      <w:lvl w:ilvl="2" w:tplc="FFFFFFFF">
        <w:start w:val="1"/>
        <w:numFmt w:val="decimal"/>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decimal"/>
        <w:lvlText w:val="%5."/>
        <w:lvlJc w:val="left"/>
        <w:pPr>
          <w:ind w:left="3600" w:hanging="360"/>
        </w:pPr>
      </w:lvl>
    </w:lvlOverride>
    <w:lvlOverride w:ilvl="5">
      <w:lvl w:ilvl="5" w:tplc="FFFFFFFF">
        <w:start w:val="1"/>
        <w:numFmt w:val="decimal"/>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decimal"/>
        <w:lvlText w:val="%8."/>
        <w:lvlJc w:val="left"/>
        <w:pPr>
          <w:ind w:left="5760" w:hanging="360"/>
        </w:pPr>
      </w:lvl>
    </w:lvlOverride>
    <w:lvlOverride w:ilvl="8">
      <w:lvl w:ilvl="8" w:tplc="FFFFFFFF">
        <w:start w:val="1"/>
        <w:numFmt w:val="decimal"/>
        <w:lvlText w:val="%9."/>
        <w:lvlJc w:val="right"/>
        <w:pPr>
          <w:ind w:left="6480" w:hanging="180"/>
        </w:pPr>
      </w:lvl>
    </w:lvlOverride>
  </w:num>
  <w:num w:numId="19">
    <w:abstractNumId w:val="18"/>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50"/>
    <w:rsid w:val="00320A99"/>
    <w:rsid w:val="003C02CA"/>
    <w:rsid w:val="00440A66"/>
    <w:rsid w:val="00741C4E"/>
    <w:rsid w:val="007C49A8"/>
    <w:rsid w:val="008F4AE7"/>
    <w:rsid w:val="00AB3851"/>
    <w:rsid w:val="00BC5F6B"/>
    <w:rsid w:val="00DC2C4B"/>
    <w:rsid w:val="00F6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3474"/>
  <w15:docId w15:val="{8854F1C3-2F92-453F-8A8A-35014FD0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8F4AE7"/>
  </w:style>
  <w:style w:type="paragraph" w:styleId="BlockText">
    <w:name w:val="Block Text"/>
    <w:basedOn w:val="Normal"/>
    <w:rsid w:val="008F4AE7"/>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paragraph" w:styleId="NoSpacing">
    <w:name w:val="No Spacing"/>
    <w:link w:val="NoSpacingChar"/>
    <w:uiPriority w:val="1"/>
    <w:qFormat/>
    <w:rsid w:val="003C02C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02C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BBFD65C-A132-411D-92A6-420361B5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5179</Words>
  <Characters>29525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Neil Halton</cp:lastModifiedBy>
  <cp:revision>6</cp:revision>
  <cp:lastPrinted>2014-03-21T13:56:00Z</cp:lastPrinted>
  <dcterms:created xsi:type="dcterms:W3CDTF">2022-02-15T18:42:00Z</dcterms:created>
  <dcterms:modified xsi:type="dcterms:W3CDTF">2022-02-15T18:49:00Z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Revenue and Capital Budget Monitoring Quarter 3</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Louise Mattinson, James McNulty</vt:lpwstr>
  </property>
  <property fmtid="{D5CDD505-2E9C-101B-9397-08002B2CF9AE}" pid="7" name="LeadOfficerEmail">
    <vt:lpwstr>neil.halton@southribble.gov.uk, louise.mattinson@southribble.gov.uk, james.mcnulty@southribble.gov.uk</vt:lpwstr>
  </property>
  <property fmtid="{D5CDD505-2E9C-101B-9397-08002B2CF9AE}" pid="8" name="LeadOfficerPost">
    <vt:lpwstr>Senior Management Accountant, Director of Finance and Section 151 Officer, Senior Management Accountant</vt:lpwstr>
  </property>
  <property fmtid="{D5CDD505-2E9C-101B-9397-08002B2CF9AE}" pid="9" name="MeetingDate">
    <vt:lpwstr>Thursday, 10 March 2022</vt:lpwstr>
  </property>
  <property fmtid="{D5CDD505-2E9C-101B-9397-08002B2CF9AE}" pid="10" name="MeetingDateLegal">
    <vt:lpwstr>MeetingDateLegal</vt:lpwstr>
  </property>
</Properties>
</file>